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595" w:rsidRDefault="00094595" w:rsidP="00094595">
      <w:pPr>
        <w:spacing w:after="0" w:line="276" w:lineRule="auto"/>
        <w:jc w:val="center"/>
        <w:rPr>
          <w:rFonts w:ascii="Sylfaen" w:hAnsi="Sylfaen"/>
          <w:b/>
          <w:lang w:val="ka-GE"/>
        </w:rPr>
      </w:pPr>
      <w:r w:rsidRPr="00094595">
        <w:rPr>
          <w:rFonts w:ascii="Sylfaen" w:hAnsi="Sylfaen"/>
          <w:b/>
          <w:lang w:val="ka-GE"/>
        </w:rPr>
        <w:t>ინფორმაცია</w:t>
      </w:r>
    </w:p>
    <w:p w:rsidR="00094595" w:rsidRPr="00094595" w:rsidRDefault="00094595" w:rsidP="00094595">
      <w:pPr>
        <w:spacing w:after="0" w:line="276" w:lineRule="auto"/>
        <w:jc w:val="center"/>
        <w:rPr>
          <w:rFonts w:ascii="Sylfaen" w:hAnsi="Sylfaen"/>
          <w:b/>
          <w:lang w:val="ka-GE"/>
        </w:rPr>
      </w:pPr>
    </w:p>
    <w:p w:rsidR="002D2744" w:rsidRDefault="00094595" w:rsidP="00094595">
      <w:pPr>
        <w:spacing w:after="0" w:line="276" w:lineRule="auto"/>
        <w:jc w:val="center"/>
        <w:rPr>
          <w:rFonts w:ascii="Sylfaen" w:hAnsi="Sylfaen"/>
          <w:b/>
          <w:lang w:val="ka-GE"/>
        </w:rPr>
      </w:pPr>
      <w:r w:rsidRPr="00094595">
        <w:rPr>
          <w:rFonts w:ascii="Sylfaen" w:hAnsi="Sylfaen"/>
          <w:b/>
          <w:lang w:val="ka-GE"/>
        </w:rPr>
        <w:t>„სახელმწიფო აუდიტის სამსახურის მიერ საქართველოს</w:t>
      </w:r>
      <w:r>
        <w:rPr>
          <w:rFonts w:ascii="Sylfaen" w:hAnsi="Sylfaen"/>
          <w:b/>
          <w:lang w:val="ka-GE"/>
        </w:rPr>
        <w:t xml:space="preserve"> 2020</w:t>
      </w:r>
      <w:r w:rsidRPr="00094595">
        <w:rPr>
          <w:rFonts w:ascii="Sylfaen" w:hAnsi="Sylfaen"/>
          <w:b/>
          <w:lang w:val="ka-GE"/>
        </w:rPr>
        <w:t xml:space="preserve"> წლის სახელმწიფო ბიუჯეტის შესრულების წლიური ანგარიშის შესახებ მომზადებულ მოხსენებაში წარმოდგენილი შენიშვნებისა და რეკომენდაციების საბიუჯეტო პროცესში გათვალისწინების შესაძლებლობის თაობაზე“ საქართველოს მთავრობის სამოქმედო გეგმის განსაზღვრის შესახებ" საქართველოს მთავრობის 2022 წლის </w:t>
      </w:r>
      <w:r>
        <w:rPr>
          <w:rFonts w:ascii="Sylfaen" w:hAnsi="Sylfaen"/>
          <w:b/>
          <w:lang w:val="ka-GE"/>
        </w:rPr>
        <w:t>30 მარტის N572</w:t>
      </w:r>
      <w:bookmarkStart w:id="0" w:name="_GoBack"/>
      <w:bookmarkEnd w:id="0"/>
      <w:r w:rsidRPr="00094595">
        <w:rPr>
          <w:rFonts w:ascii="Sylfaen" w:hAnsi="Sylfaen"/>
          <w:b/>
          <w:lang w:val="ka-GE"/>
        </w:rPr>
        <w:t xml:space="preserve"> განკარგულებით განსაზღვრული საქართველოს მთავრობის სამოქმედო გეგმის შესრულების შესახებ</w:t>
      </w:r>
    </w:p>
    <w:p w:rsidR="00094595" w:rsidRPr="00F71C77" w:rsidRDefault="00094595" w:rsidP="00094595">
      <w:pPr>
        <w:spacing w:after="0" w:line="276" w:lineRule="auto"/>
        <w:jc w:val="both"/>
        <w:rPr>
          <w:rFonts w:ascii="Sylfaen" w:hAnsi="Sylfaen"/>
          <w:b/>
          <w:lang w:val="ka-GE"/>
        </w:rPr>
      </w:pPr>
    </w:p>
    <w:tbl>
      <w:tblPr>
        <w:tblStyle w:val="TableGrid"/>
        <w:tblW w:w="14432" w:type="dxa"/>
        <w:tblInd w:w="-545" w:type="dxa"/>
        <w:tblLayout w:type="fixed"/>
        <w:tblLook w:val="04A0" w:firstRow="1" w:lastRow="0" w:firstColumn="1" w:lastColumn="0" w:noHBand="0" w:noVBand="1"/>
      </w:tblPr>
      <w:tblGrid>
        <w:gridCol w:w="3234"/>
        <w:gridCol w:w="1701"/>
        <w:gridCol w:w="1559"/>
        <w:gridCol w:w="2551"/>
        <w:gridCol w:w="5387"/>
      </w:tblGrid>
      <w:tr w:rsidR="00E958BB" w:rsidRPr="00E958BB" w:rsidTr="00E958BB">
        <w:trPr>
          <w:trHeight w:val="113"/>
          <w:tblHeader/>
        </w:trPr>
        <w:tc>
          <w:tcPr>
            <w:tcW w:w="3234" w:type="dxa"/>
            <w:shd w:val="clear" w:color="auto" w:fill="DEEAF6" w:themeFill="accent1" w:themeFillTint="33"/>
            <w:vAlign w:val="center"/>
          </w:tcPr>
          <w:p w:rsidR="00E958BB" w:rsidRPr="00E958BB" w:rsidRDefault="00E958BB" w:rsidP="00EB5DD6">
            <w:pPr>
              <w:jc w:val="center"/>
              <w:rPr>
                <w:rFonts w:ascii="Sylfaen" w:hAnsi="Sylfaen"/>
                <w:b/>
                <w:sz w:val="20"/>
                <w:lang w:val="ka-GE"/>
              </w:rPr>
            </w:pPr>
            <w:r w:rsidRPr="00E958BB">
              <w:rPr>
                <w:rFonts w:ascii="Sylfaen" w:hAnsi="Sylfaen"/>
                <w:b/>
                <w:sz w:val="20"/>
                <w:lang w:val="ka-GE"/>
              </w:rPr>
              <w:t>რეკომენდაცია</w:t>
            </w:r>
          </w:p>
        </w:tc>
        <w:tc>
          <w:tcPr>
            <w:tcW w:w="1701" w:type="dxa"/>
            <w:shd w:val="clear" w:color="auto" w:fill="DEEAF6" w:themeFill="accent1" w:themeFillTint="33"/>
          </w:tcPr>
          <w:p w:rsidR="00E958BB" w:rsidRPr="00E958BB" w:rsidRDefault="00E958BB" w:rsidP="00EB5DD6">
            <w:pPr>
              <w:jc w:val="center"/>
              <w:rPr>
                <w:rFonts w:ascii="Sylfaen" w:hAnsi="Sylfaen"/>
                <w:b/>
                <w:sz w:val="20"/>
                <w:lang w:val="ka-GE"/>
              </w:rPr>
            </w:pPr>
            <w:r w:rsidRPr="00E958BB">
              <w:rPr>
                <w:rFonts w:ascii="Sylfaen" w:hAnsi="Sylfaen"/>
                <w:b/>
                <w:sz w:val="20"/>
                <w:lang w:val="ka-GE"/>
              </w:rPr>
              <w:t>განხორციელების ვადები</w:t>
            </w:r>
          </w:p>
        </w:tc>
        <w:tc>
          <w:tcPr>
            <w:tcW w:w="1559" w:type="dxa"/>
            <w:shd w:val="clear" w:color="auto" w:fill="DEEAF6" w:themeFill="accent1" w:themeFillTint="33"/>
          </w:tcPr>
          <w:p w:rsidR="00E958BB" w:rsidRPr="00E958BB" w:rsidRDefault="00E958BB" w:rsidP="00EB5DD6">
            <w:pPr>
              <w:jc w:val="center"/>
              <w:rPr>
                <w:rFonts w:ascii="Sylfaen" w:hAnsi="Sylfaen"/>
                <w:b/>
                <w:sz w:val="20"/>
                <w:lang w:val="ka-GE"/>
              </w:rPr>
            </w:pPr>
            <w:r w:rsidRPr="00E958BB">
              <w:rPr>
                <w:rFonts w:ascii="Sylfaen" w:hAnsi="Sylfaen"/>
                <w:b/>
                <w:sz w:val="20"/>
                <w:lang w:val="ka-GE"/>
              </w:rPr>
              <w:t>პასუხისმგებელი უწყება</w:t>
            </w:r>
          </w:p>
        </w:tc>
        <w:tc>
          <w:tcPr>
            <w:tcW w:w="2551" w:type="dxa"/>
            <w:shd w:val="clear" w:color="auto" w:fill="DEEAF6" w:themeFill="accent1" w:themeFillTint="33"/>
          </w:tcPr>
          <w:p w:rsidR="00E958BB" w:rsidRPr="00E958BB" w:rsidRDefault="00E958BB" w:rsidP="00EB5DD6">
            <w:pPr>
              <w:jc w:val="center"/>
              <w:rPr>
                <w:rFonts w:ascii="Sylfaen" w:hAnsi="Sylfaen"/>
                <w:b/>
                <w:sz w:val="20"/>
                <w:lang w:val="ka-GE"/>
              </w:rPr>
            </w:pPr>
            <w:r w:rsidRPr="00E958BB">
              <w:rPr>
                <w:rFonts w:ascii="Sylfaen" w:hAnsi="Sylfaen"/>
                <w:b/>
                <w:sz w:val="20"/>
                <w:lang w:val="ka-GE"/>
              </w:rPr>
              <w:t>ინდიკატორი</w:t>
            </w:r>
          </w:p>
        </w:tc>
        <w:tc>
          <w:tcPr>
            <w:tcW w:w="5387" w:type="dxa"/>
            <w:shd w:val="clear" w:color="auto" w:fill="DEEAF6" w:themeFill="accent1" w:themeFillTint="33"/>
            <w:vAlign w:val="center"/>
          </w:tcPr>
          <w:p w:rsidR="00E958BB" w:rsidRPr="00E958BB" w:rsidRDefault="00E958BB" w:rsidP="00EB5DD6">
            <w:pPr>
              <w:jc w:val="center"/>
              <w:rPr>
                <w:rFonts w:ascii="Sylfaen" w:hAnsi="Sylfaen"/>
                <w:b/>
                <w:sz w:val="20"/>
                <w:lang w:val="ka-GE"/>
              </w:rPr>
            </w:pPr>
            <w:r w:rsidRPr="00E958BB">
              <w:rPr>
                <w:rFonts w:ascii="Sylfaen" w:hAnsi="Sylfaen"/>
                <w:b/>
                <w:sz w:val="20"/>
                <w:lang w:val="ka-GE"/>
              </w:rPr>
              <w:t>რეკომენდაციის გათვალისწინების შესაძლებლობა</w:t>
            </w:r>
          </w:p>
        </w:tc>
      </w:tr>
      <w:tr w:rsidR="00E958BB" w:rsidRPr="00E958BB" w:rsidTr="00E958BB">
        <w:trPr>
          <w:trHeight w:val="113"/>
        </w:trPr>
        <w:tc>
          <w:tcPr>
            <w:tcW w:w="14432" w:type="dxa"/>
            <w:gridSpan w:val="5"/>
          </w:tcPr>
          <w:p w:rsidR="00E958BB" w:rsidRPr="00E958BB" w:rsidRDefault="00E958BB" w:rsidP="00EB5DD6">
            <w:pPr>
              <w:pStyle w:val="Heading2"/>
              <w:outlineLvl w:val="1"/>
              <w:rPr>
                <w:rFonts w:ascii="Sylfaen" w:hAnsi="Sylfaen"/>
                <w:color w:val="auto"/>
                <w:sz w:val="20"/>
                <w:szCs w:val="22"/>
              </w:rPr>
            </w:pPr>
            <w:r w:rsidRPr="00E958BB">
              <w:rPr>
                <w:rFonts w:ascii="Sylfaen" w:eastAsiaTheme="minorHAnsi" w:hAnsi="Sylfaen" w:cstheme="minorBidi"/>
                <w:b/>
                <w:color w:val="auto"/>
                <w:sz w:val="20"/>
                <w:szCs w:val="22"/>
                <w:lang w:val="ka-GE"/>
              </w:rPr>
              <w:t>საქართველოს ფინანსთა სამინისტროს</w:t>
            </w:r>
          </w:p>
        </w:tc>
      </w:tr>
      <w:tr w:rsidR="00E958BB" w:rsidRPr="00E958BB" w:rsidTr="00E958BB">
        <w:trPr>
          <w:trHeight w:val="113"/>
        </w:trPr>
        <w:tc>
          <w:tcPr>
            <w:tcW w:w="3234" w:type="dxa"/>
          </w:tcPr>
          <w:p w:rsidR="00E958BB" w:rsidRPr="00E958BB" w:rsidRDefault="00E958BB" w:rsidP="00EB5DD6">
            <w:pPr>
              <w:jc w:val="both"/>
              <w:rPr>
                <w:rFonts w:ascii="Sylfaen" w:hAnsi="Sylfaen" w:cs="Sylfaen"/>
                <w:sz w:val="20"/>
                <w:lang w:val="ka-GE"/>
              </w:rPr>
            </w:pPr>
            <w:proofErr w:type="spellStart"/>
            <w:r w:rsidRPr="00E958BB">
              <w:rPr>
                <w:rFonts w:ascii="Sylfaen" w:hAnsi="Sylfaen"/>
                <w:sz w:val="20"/>
              </w:rPr>
              <w:t>მაკროეკონომიკური</w:t>
            </w:r>
            <w:proofErr w:type="spellEnd"/>
            <w:r w:rsidRPr="00E958BB">
              <w:rPr>
                <w:rFonts w:ascii="Sylfaen" w:hAnsi="Sylfaen"/>
                <w:sz w:val="20"/>
              </w:rPr>
              <w:t xml:space="preserve"> </w:t>
            </w:r>
            <w:proofErr w:type="spellStart"/>
            <w:r w:rsidRPr="00E958BB">
              <w:rPr>
                <w:rFonts w:ascii="Sylfaen" w:hAnsi="Sylfaen"/>
                <w:sz w:val="20"/>
              </w:rPr>
              <w:t>ინდიკატორების</w:t>
            </w:r>
            <w:proofErr w:type="spellEnd"/>
            <w:r w:rsidRPr="00E958BB">
              <w:rPr>
                <w:rFonts w:ascii="Sylfaen" w:hAnsi="Sylfaen"/>
                <w:sz w:val="20"/>
              </w:rPr>
              <w:t xml:space="preserve"> </w:t>
            </w:r>
            <w:proofErr w:type="spellStart"/>
            <w:r w:rsidRPr="00E958BB">
              <w:rPr>
                <w:rFonts w:ascii="Sylfaen" w:hAnsi="Sylfaen"/>
                <w:sz w:val="20"/>
              </w:rPr>
              <w:t>ფისკალურ</w:t>
            </w:r>
            <w:proofErr w:type="spellEnd"/>
            <w:r w:rsidRPr="00E958BB">
              <w:rPr>
                <w:rFonts w:ascii="Sylfaen" w:hAnsi="Sylfaen"/>
                <w:sz w:val="20"/>
              </w:rPr>
              <w:t xml:space="preserve"> </w:t>
            </w:r>
            <w:proofErr w:type="spellStart"/>
            <w:r w:rsidRPr="00E958BB">
              <w:rPr>
                <w:rFonts w:ascii="Sylfaen" w:hAnsi="Sylfaen"/>
                <w:sz w:val="20"/>
              </w:rPr>
              <w:t>პარამეტრებზე</w:t>
            </w:r>
            <w:proofErr w:type="spellEnd"/>
            <w:r w:rsidRPr="00E958BB">
              <w:rPr>
                <w:rFonts w:ascii="Sylfaen" w:hAnsi="Sylfaen"/>
                <w:sz w:val="20"/>
              </w:rPr>
              <w:t xml:space="preserve"> </w:t>
            </w:r>
            <w:proofErr w:type="spellStart"/>
            <w:r w:rsidRPr="00E958BB">
              <w:rPr>
                <w:rFonts w:ascii="Sylfaen" w:hAnsi="Sylfaen"/>
                <w:sz w:val="20"/>
              </w:rPr>
              <w:t>ფაქტობრივი</w:t>
            </w:r>
            <w:proofErr w:type="spellEnd"/>
            <w:r w:rsidRPr="00E958BB">
              <w:rPr>
                <w:rFonts w:ascii="Sylfaen" w:hAnsi="Sylfaen"/>
                <w:sz w:val="20"/>
              </w:rPr>
              <w:t xml:space="preserve"> </w:t>
            </w:r>
            <w:proofErr w:type="spellStart"/>
            <w:r w:rsidRPr="00E958BB">
              <w:rPr>
                <w:rFonts w:ascii="Sylfaen" w:hAnsi="Sylfaen"/>
                <w:sz w:val="20"/>
              </w:rPr>
              <w:t>გავლენის</w:t>
            </w:r>
            <w:proofErr w:type="spellEnd"/>
            <w:r w:rsidRPr="00E958BB">
              <w:rPr>
                <w:rFonts w:ascii="Sylfaen" w:hAnsi="Sylfaen"/>
                <w:sz w:val="20"/>
              </w:rPr>
              <w:t xml:space="preserve"> </w:t>
            </w:r>
            <w:proofErr w:type="spellStart"/>
            <w:r w:rsidRPr="00E958BB">
              <w:rPr>
                <w:rFonts w:ascii="Sylfaen" w:hAnsi="Sylfaen"/>
                <w:sz w:val="20"/>
              </w:rPr>
              <w:t>შეფასების</w:t>
            </w:r>
            <w:proofErr w:type="spellEnd"/>
            <w:r w:rsidRPr="00E958BB">
              <w:rPr>
                <w:rFonts w:ascii="Sylfaen" w:hAnsi="Sylfaen"/>
                <w:sz w:val="20"/>
              </w:rPr>
              <w:t xml:space="preserve"> </w:t>
            </w:r>
            <w:proofErr w:type="spellStart"/>
            <w:r w:rsidRPr="00E958BB">
              <w:rPr>
                <w:rFonts w:ascii="Sylfaen" w:hAnsi="Sylfaen"/>
                <w:sz w:val="20"/>
              </w:rPr>
              <w:t>მიზნით</w:t>
            </w:r>
            <w:proofErr w:type="spellEnd"/>
            <w:r w:rsidRPr="00E958BB">
              <w:rPr>
                <w:rFonts w:ascii="Sylfaen" w:hAnsi="Sylfaen"/>
                <w:sz w:val="20"/>
              </w:rPr>
              <w:t xml:space="preserve">, </w:t>
            </w:r>
            <w:proofErr w:type="spellStart"/>
            <w:r w:rsidRPr="00E958BB">
              <w:rPr>
                <w:rFonts w:ascii="Sylfaen" w:hAnsi="Sylfaen"/>
                <w:sz w:val="20"/>
              </w:rPr>
              <w:t>მიზანშეწონილია</w:t>
            </w:r>
            <w:proofErr w:type="spellEnd"/>
            <w:r w:rsidRPr="00E958BB">
              <w:rPr>
                <w:rFonts w:ascii="Sylfaen" w:hAnsi="Sylfaen"/>
                <w:sz w:val="20"/>
              </w:rPr>
              <w:t xml:space="preserve">, </w:t>
            </w:r>
            <w:proofErr w:type="spellStart"/>
            <w:r w:rsidRPr="00E958BB">
              <w:rPr>
                <w:rFonts w:ascii="Sylfaen" w:hAnsi="Sylfaen"/>
                <w:sz w:val="20"/>
              </w:rPr>
              <w:t>სახელმწიფო</w:t>
            </w:r>
            <w:proofErr w:type="spellEnd"/>
            <w:r w:rsidRPr="00E958BB">
              <w:rPr>
                <w:rFonts w:ascii="Sylfaen" w:hAnsi="Sylfaen"/>
                <w:sz w:val="20"/>
              </w:rPr>
              <w:t xml:space="preserve"> </w:t>
            </w:r>
            <w:proofErr w:type="spellStart"/>
            <w:r w:rsidRPr="00E958BB">
              <w:rPr>
                <w:rFonts w:ascii="Sylfaen" w:hAnsi="Sylfaen"/>
                <w:sz w:val="20"/>
              </w:rPr>
              <w:t>ბიუჯეტის</w:t>
            </w:r>
            <w:proofErr w:type="spellEnd"/>
            <w:r w:rsidRPr="00E958BB">
              <w:rPr>
                <w:rFonts w:ascii="Sylfaen" w:hAnsi="Sylfaen"/>
                <w:sz w:val="20"/>
              </w:rPr>
              <w:t xml:space="preserve"> </w:t>
            </w:r>
            <w:proofErr w:type="spellStart"/>
            <w:r w:rsidRPr="00E958BB">
              <w:rPr>
                <w:rFonts w:ascii="Sylfaen" w:hAnsi="Sylfaen"/>
                <w:sz w:val="20"/>
              </w:rPr>
              <w:t>შესრულების</w:t>
            </w:r>
            <w:proofErr w:type="spellEnd"/>
            <w:r w:rsidRPr="00E958BB">
              <w:rPr>
                <w:rFonts w:ascii="Sylfaen" w:hAnsi="Sylfaen"/>
                <w:sz w:val="20"/>
              </w:rPr>
              <w:t xml:space="preserve"> </w:t>
            </w:r>
            <w:proofErr w:type="spellStart"/>
            <w:r w:rsidRPr="00E958BB">
              <w:rPr>
                <w:rFonts w:ascii="Sylfaen" w:hAnsi="Sylfaen"/>
                <w:sz w:val="20"/>
              </w:rPr>
              <w:t>წლიური</w:t>
            </w:r>
            <w:proofErr w:type="spellEnd"/>
            <w:r w:rsidRPr="00E958BB">
              <w:rPr>
                <w:rFonts w:ascii="Sylfaen" w:hAnsi="Sylfaen"/>
                <w:sz w:val="20"/>
              </w:rPr>
              <w:t xml:space="preserve"> </w:t>
            </w:r>
            <w:proofErr w:type="spellStart"/>
            <w:r w:rsidRPr="00E958BB">
              <w:rPr>
                <w:rFonts w:ascii="Sylfaen" w:hAnsi="Sylfaen"/>
                <w:sz w:val="20"/>
              </w:rPr>
              <w:t>ანგარიში</w:t>
            </w:r>
            <w:proofErr w:type="spellEnd"/>
            <w:r w:rsidRPr="00E958BB">
              <w:rPr>
                <w:rFonts w:ascii="Sylfaen" w:hAnsi="Sylfaen"/>
                <w:sz w:val="20"/>
              </w:rPr>
              <w:t xml:space="preserve"> </w:t>
            </w:r>
            <w:proofErr w:type="spellStart"/>
            <w:r w:rsidRPr="00E958BB">
              <w:rPr>
                <w:rFonts w:ascii="Sylfaen" w:hAnsi="Sylfaen"/>
                <w:sz w:val="20"/>
              </w:rPr>
              <w:t>მოიცავდეს</w:t>
            </w:r>
            <w:proofErr w:type="spellEnd"/>
            <w:r w:rsidRPr="00E958BB">
              <w:rPr>
                <w:rFonts w:ascii="Sylfaen" w:hAnsi="Sylfaen"/>
                <w:sz w:val="20"/>
              </w:rPr>
              <w:t xml:space="preserve"> </w:t>
            </w:r>
            <w:proofErr w:type="spellStart"/>
            <w:r w:rsidRPr="00E958BB">
              <w:rPr>
                <w:rFonts w:ascii="Sylfaen" w:hAnsi="Sylfaen"/>
                <w:sz w:val="20"/>
              </w:rPr>
              <w:t>ბიუჯეტის</w:t>
            </w:r>
            <w:proofErr w:type="spellEnd"/>
            <w:r w:rsidRPr="00E958BB">
              <w:rPr>
                <w:rFonts w:ascii="Sylfaen" w:hAnsi="Sylfaen"/>
                <w:sz w:val="20"/>
              </w:rPr>
              <w:t xml:space="preserve"> </w:t>
            </w:r>
            <w:proofErr w:type="spellStart"/>
            <w:r w:rsidRPr="00E958BB">
              <w:rPr>
                <w:rFonts w:ascii="Sylfaen" w:hAnsi="Sylfaen"/>
                <w:sz w:val="20"/>
              </w:rPr>
              <w:t>დაგეგმვის</w:t>
            </w:r>
            <w:proofErr w:type="spellEnd"/>
            <w:r w:rsidRPr="00E958BB">
              <w:rPr>
                <w:rFonts w:ascii="Sylfaen" w:hAnsi="Sylfaen"/>
                <w:sz w:val="20"/>
              </w:rPr>
              <w:t xml:space="preserve"> </w:t>
            </w:r>
            <w:proofErr w:type="spellStart"/>
            <w:r w:rsidRPr="00E958BB">
              <w:rPr>
                <w:rFonts w:ascii="Sylfaen" w:hAnsi="Sylfaen"/>
                <w:sz w:val="20"/>
              </w:rPr>
              <w:t>ეტაპზე</w:t>
            </w:r>
            <w:proofErr w:type="spellEnd"/>
            <w:r w:rsidRPr="00E958BB">
              <w:rPr>
                <w:rFonts w:ascii="Sylfaen" w:hAnsi="Sylfaen"/>
                <w:sz w:val="20"/>
              </w:rPr>
              <w:t xml:space="preserve"> </w:t>
            </w:r>
            <w:proofErr w:type="spellStart"/>
            <w:r w:rsidRPr="00E958BB">
              <w:rPr>
                <w:rFonts w:ascii="Sylfaen" w:hAnsi="Sylfaen"/>
                <w:sz w:val="20"/>
              </w:rPr>
              <w:t>იდენტიფიცირებული</w:t>
            </w:r>
            <w:proofErr w:type="spellEnd"/>
            <w:r w:rsidRPr="00E958BB">
              <w:rPr>
                <w:rFonts w:ascii="Sylfaen" w:hAnsi="Sylfaen"/>
                <w:sz w:val="20"/>
              </w:rPr>
              <w:t xml:space="preserve"> </w:t>
            </w:r>
            <w:proofErr w:type="spellStart"/>
            <w:r w:rsidRPr="00E958BB">
              <w:rPr>
                <w:rFonts w:ascii="Sylfaen" w:hAnsi="Sylfaen"/>
                <w:sz w:val="20"/>
              </w:rPr>
              <w:t>ფისკალური</w:t>
            </w:r>
            <w:proofErr w:type="spellEnd"/>
            <w:r w:rsidRPr="00E958BB">
              <w:rPr>
                <w:rFonts w:ascii="Sylfaen" w:hAnsi="Sylfaen"/>
                <w:sz w:val="20"/>
              </w:rPr>
              <w:t xml:space="preserve"> </w:t>
            </w:r>
            <w:proofErr w:type="spellStart"/>
            <w:r w:rsidRPr="00E958BB">
              <w:rPr>
                <w:rFonts w:ascii="Sylfaen" w:hAnsi="Sylfaen"/>
                <w:sz w:val="20"/>
              </w:rPr>
              <w:t>რისკების</w:t>
            </w:r>
            <w:proofErr w:type="spellEnd"/>
            <w:r w:rsidRPr="00E958BB">
              <w:rPr>
                <w:rFonts w:ascii="Sylfaen" w:hAnsi="Sylfaen"/>
                <w:sz w:val="20"/>
              </w:rPr>
              <w:t xml:space="preserve"> </w:t>
            </w:r>
            <w:proofErr w:type="spellStart"/>
            <w:r w:rsidRPr="00E958BB">
              <w:rPr>
                <w:rFonts w:ascii="Sylfaen" w:hAnsi="Sylfaen"/>
                <w:sz w:val="20"/>
              </w:rPr>
              <w:t>მატერიალიზაციის</w:t>
            </w:r>
            <w:proofErr w:type="spellEnd"/>
            <w:r w:rsidRPr="00E958BB">
              <w:rPr>
                <w:rFonts w:ascii="Sylfaen" w:hAnsi="Sylfaen"/>
                <w:sz w:val="20"/>
              </w:rPr>
              <w:t xml:space="preserve"> </w:t>
            </w:r>
            <w:proofErr w:type="spellStart"/>
            <w:r w:rsidRPr="00E958BB">
              <w:rPr>
                <w:rFonts w:ascii="Sylfaen" w:hAnsi="Sylfaen"/>
                <w:sz w:val="20"/>
              </w:rPr>
              <w:t>შესახებ</w:t>
            </w:r>
            <w:proofErr w:type="spellEnd"/>
            <w:r w:rsidRPr="00E958BB">
              <w:rPr>
                <w:rFonts w:ascii="Sylfaen" w:hAnsi="Sylfaen"/>
                <w:sz w:val="20"/>
              </w:rPr>
              <w:t xml:space="preserve"> </w:t>
            </w:r>
            <w:proofErr w:type="spellStart"/>
            <w:r w:rsidRPr="00E958BB">
              <w:rPr>
                <w:rFonts w:ascii="Sylfaen" w:hAnsi="Sylfaen"/>
                <w:sz w:val="20"/>
              </w:rPr>
              <w:t>ინფორმაციას</w:t>
            </w:r>
            <w:proofErr w:type="spellEnd"/>
            <w:r w:rsidRPr="00E958BB">
              <w:rPr>
                <w:rFonts w:ascii="Sylfaen" w:hAnsi="Sylfaen"/>
                <w:sz w:val="20"/>
              </w:rPr>
              <w:t xml:space="preserve"> </w:t>
            </w:r>
            <w:proofErr w:type="spellStart"/>
            <w:r w:rsidRPr="00E958BB">
              <w:rPr>
                <w:rFonts w:ascii="Sylfaen" w:hAnsi="Sylfaen"/>
                <w:sz w:val="20"/>
              </w:rPr>
              <w:t>და</w:t>
            </w:r>
            <w:proofErr w:type="spellEnd"/>
            <w:r w:rsidRPr="00E958BB">
              <w:rPr>
                <w:rFonts w:ascii="Sylfaen" w:hAnsi="Sylfaen"/>
                <w:sz w:val="20"/>
              </w:rPr>
              <w:t xml:space="preserve"> </w:t>
            </w:r>
            <w:proofErr w:type="spellStart"/>
            <w:r w:rsidRPr="00E958BB">
              <w:rPr>
                <w:rFonts w:ascii="Sylfaen" w:hAnsi="Sylfaen"/>
                <w:sz w:val="20"/>
              </w:rPr>
              <w:t>მათ</w:t>
            </w:r>
            <w:proofErr w:type="spellEnd"/>
            <w:r w:rsidRPr="00E958BB">
              <w:rPr>
                <w:rFonts w:ascii="Sylfaen" w:hAnsi="Sylfaen"/>
                <w:sz w:val="20"/>
              </w:rPr>
              <w:t xml:space="preserve"> </w:t>
            </w:r>
            <w:proofErr w:type="spellStart"/>
            <w:r w:rsidRPr="00E958BB">
              <w:rPr>
                <w:rFonts w:ascii="Sylfaen" w:hAnsi="Sylfaen"/>
                <w:sz w:val="20"/>
              </w:rPr>
              <w:t>საპასუხოდ</w:t>
            </w:r>
            <w:proofErr w:type="spellEnd"/>
            <w:r w:rsidRPr="00E958BB">
              <w:rPr>
                <w:rFonts w:ascii="Sylfaen" w:hAnsi="Sylfaen"/>
                <w:sz w:val="20"/>
              </w:rPr>
              <w:t xml:space="preserve"> </w:t>
            </w:r>
            <w:proofErr w:type="spellStart"/>
            <w:r w:rsidRPr="00E958BB">
              <w:rPr>
                <w:rFonts w:ascii="Sylfaen" w:hAnsi="Sylfaen"/>
                <w:sz w:val="20"/>
              </w:rPr>
              <w:t>გატარებული</w:t>
            </w:r>
            <w:proofErr w:type="spellEnd"/>
            <w:r w:rsidRPr="00E958BB">
              <w:rPr>
                <w:rFonts w:ascii="Sylfaen" w:hAnsi="Sylfaen"/>
                <w:sz w:val="20"/>
              </w:rPr>
              <w:t xml:space="preserve"> </w:t>
            </w:r>
            <w:proofErr w:type="spellStart"/>
            <w:r w:rsidRPr="00E958BB">
              <w:rPr>
                <w:rFonts w:ascii="Sylfaen" w:hAnsi="Sylfaen"/>
                <w:sz w:val="20"/>
              </w:rPr>
              <w:t>პოლიტიკის</w:t>
            </w:r>
            <w:proofErr w:type="spellEnd"/>
            <w:r w:rsidRPr="00E958BB">
              <w:rPr>
                <w:rFonts w:ascii="Sylfaen" w:hAnsi="Sylfaen"/>
                <w:sz w:val="20"/>
              </w:rPr>
              <w:t xml:space="preserve"> </w:t>
            </w:r>
            <w:proofErr w:type="spellStart"/>
            <w:r w:rsidRPr="00E958BB">
              <w:rPr>
                <w:rFonts w:ascii="Sylfaen" w:hAnsi="Sylfaen"/>
                <w:sz w:val="20"/>
              </w:rPr>
              <w:t>პასუხების</w:t>
            </w:r>
            <w:proofErr w:type="spellEnd"/>
            <w:r w:rsidRPr="00E958BB">
              <w:rPr>
                <w:rFonts w:ascii="Sylfaen" w:hAnsi="Sylfaen"/>
                <w:sz w:val="20"/>
              </w:rPr>
              <w:t xml:space="preserve"> </w:t>
            </w:r>
            <w:proofErr w:type="spellStart"/>
            <w:r w:rsidRPr="00E958BB">
              <w:rPr>
                <w:rFonts w:ascii="Sylfaen" w:hAnsi="Sylfaen"/>
                <w:sz w:val="20"/>
              </w:rPr>
              <w:t>ანალიზს</w:t>
            </w:r>
            <w:proofErr w:type="spellEnd"/>
            <w:r w:rsidRPr="00E958BB">
              <w:rPr>
                <w:rFonts w:ascii="Sylfaen" w:hAnsi="Sylfaen"/>
                <w:sz w:val="20"/>
              </w:rPr>
              <w:t>;</w:t>
            </w:r>
          </w:p>
        </w:tc>
        <w:tc>
          <w:tcPr>
            <w:tcW w:w="1701" w:type="dxa"/>
          </w:tcPr>
          <w:p w:rsidR="00E958BB" w:rsidRPr="00E958BB" w:rsidRDefault="00E958BB" w:rsidP="00EB5DD6">
            <w:pPr>
              <w:jc w:val="both"/>
              <w:rPr>
                <w:rFonts w:ascii="Sylfaen" w:hAnsi="Sylfaen"/>
                <w:noProof/>
                <w:sz w:val="20"/>
                <w:lang w:val="ka-GE"/>
              </w:rPr>
            </w:pPr>
          </w:p>
        </w:tc>
        <w:tc>
          <w:tcPr>
            <w:tcW w:w="1559" w:type="dxa"/>
          </w:tcPr>
          <w:p w:rsidR="00E958BB" w:rsidRPr="00E958BB" w:rsidRDefault="00E958BB" w:rsidP="00EB5DD6">
            <w:pPr>
              <w:jc w:val="center"/>
              <w:rPr>
                <w:rFonts w:ascii="Sylfaen" w:hAnsi="Sylfaen"/>
                <w:noProof/>
                <w:sz w:val="20"/>
                <w:lang w:val="ka-GE"/>
              </w:rPr>
            </w:pPr>
            <w:r w:rsidRPr="00E958BB">
              <w:rPr>
                <w:rFonts w:ascii="Sylfaen" w:hAnsi="Sylfaen"/>
                <w:sz w:val="20"/>
                <w:lang w:val="ka-GE"/>
              </w:rPr>
              <w:t>საქართველოს ფინანსთა სამინისტრო</w:t>
            </w:r>
          </w:p>
        </w:tc>
        <w:tc>
          <w:tcPr>
            <w:tcW w:w="2551" w:type="dxa"/>
          </w:tcPr>
          <w:p w:rsidR="00E958BB" w:rsidRPr="00E958BB" w:rsidRDefault="00E958BB" w:rsidP="00EB5DD6">
            <w:pPr>
              <w:jc w:val="both"/>
              <w:rPr>
                <w:rFonts w:ascii="Sylfaen" w:hAnsi="Sylfaen"/>
                <w:noProof/>
                <w:sz w:val="20"/>
                <w:lang w:val="ka-GE"/>
              </w:rPr>
            </w:pPr>
            <w:r w:rsidRPr="00E958BB">
              <w:rPr>
                <w:rFonts w:ascii="Sylfaen" w:hAnsi="Sylfaen"/>
                <w:sz w:val="20"/>
                <w:lang w:val="ka-GE"/>
              </w:rPr>
              <w:t xml:space="preserve">2022 წლის სახელმწიფო ბიუჯეტის პროექტზე თანდართული ფისკალური რისკების დოკუმენტი, რომელიც წარედგინება საქართველოს პარლამენტში მოიცავს შესაბამის ინფორმაციას. ინფორმაცია განთავსებულია საქართველოს ფინანსთა სამინისტროს ვებ-გვერდზე - </w:t>
            </w:r>
            <w:hyperlink r:id="rId8" w:history="1">
              <w:r w:rsidRPr="00E958BB">
                <w:rPr>
                  <w:rStyle w:val="Hyperlink"/>
                  <w:rFonts w:ascii="Sylfaen" w:hAnsi="Sylfaen"/>
                  <w:sz w:val="20"/>
                  <w:lang w:val="ka-GE"/>
                </w:rPr>
                <w:t>https://www.mof.ge/images/File/2022-biujeti/21-12-2021/DanarTebi/19.FRS_III_2021.pdf</w:t>
              </w:r>
            </w:hyperlink>
          </w:p>
        </w:tc>
        <w:tc>
          <w:tcPr>
            <w:tcW w:w="5387" w:type="dxa"/>
            <w:vAlign w:val="center"/>
          </w:tcPr>
          <w:p w:rsidR="00E958BB" w:rsidRPr="00E958BB" w:rsidRDefault="00E958BB" w:rsidP="00EB5DD6">
            <w:pPr>
              <w:jc w:val="both"/>
              <w:rPr>
                <w:rFonts w:ascii="Sylfaen" w:hAnsi="Sylfaen"/>
                <w:noProof/>
                <w:sz w:val="20"/>
                <w:lang w:val="ka-GE"/>
              </w:rPr>
            </w:pPr>
            <w:r w:rsidRPr="00E958BB">
              <w:rPr>
                <w:rFonts w:ascii="Sylfaen" w:hAnsi="Sylfaen"/>
                <w:noProof/>
                <w:sz w:val="20"/>
                <w:lang w:val="ka-GE"/>
              </w:rPr>
              <w:t>ფისკალური რისკების ანალიზის დოკუმენტი მოიცავს ინფორმაციას გასული, მიმდინარე, დასაგეგმი და დასაგეგმის შემდგომი საანგარიშო პერიოდებისთვის, რაც მოიცავს რისკების რეალიზაციის ნეგატიური შედეგების თავიდან აცილების ან მინიმიზაციის რეკომენდაციებს. ამასთან, უკანასკნელ პერიოდში მნიშვნელოვნად დაიხვეწა რისკების იდენტიფიკაციის, ანალიზის და რეპორტინგის მექანიზმები, შემდგომ ეტაპს წარმოადგენს ფისკალური რისკების მართვის ეფექტური მექანიზმების დანერგვა, რომელზეც მუშაობა დაიწყო 2020 წელს. 2022 წლის ფისკალური რისკების ანალიზის დოკუმენტი მოიცავს ფაქტიურად რეალიზებული რისკების, ასევე ქვეყნის წინაშე მდგარი ფისკალური რისკების შეფასებას საშუალო და გრძელვადიან ჭრილში. დოკუმენტში წარმოდგენილია რეკომენდაციები აღნიშნული რისკების თავიდან აცილების ან რისკების რეალიზაციის შედეგად დამდგარი ნეგატიური შედეგების შემცირების მიმართულებით. მომდევნო წლებში ასევე განხილული იქნება აღნიშნული ინფორმაციის ასახვა შესრულების ანგარიშებში.</w:t>
            </w:r>
          </w:p>
        </w:tc>
      </w:tr>
      <w:tr w:rsidR="00E958BB" w:rsidRPr="00E958BB" w:rsidTr="00E958BB">
        <w:trPr>
          <w:trHeight w:val="113"/>
        </w:trPr>
        <w:tc>
          <w:tcPr>
            <w:tcW w:w="3234" w:type="dxa"/>
          </w:tcPr>
          <w:p w:rsidR="00E958BB" w:rsidRPr="00E958BB" w:rsidRDefault="00E958BB" w:rsidP="00EB5DD6">
            <w:pPr>
              <w:jc w:val="both"/>
              <w:rPr>
                <w:rFonts w:ascii="Sylfaen" w:hAnsi="Sylfaen"/>
                <w:sz w:val="20"/>
              </w:rPr>
            </w:pPr>
            <w:proofErr w:type="spellStart"/>
            <w:r w:rsidRPr="00E958BB">
              <w:rPr>
                <w:rFonts w:ascii="Sylfaen" w:hAnsi="Sylfaen"/>
                <w:sz w:val="20"/>
              </w:rPr>
              <w:t>საშუალოვადიან</w:t>
            </w:r>
            <w:proofErr w:type="spellEnd"/>
            <w:r w:rsidRPr="00E958BB">
              <w:rPr>
                <w:rFonts w:ascii="Sylfaen" w:hAnsi="Sylfaen"/>
                <w:sz w:val="20"/>
              </w:rPr>
              <w:t xml:space="preserve"> </w:t>
            </w:r>
            <w:proofErr w:type="spellStart"/>
            <w:r w:rsidRPr="00E958BB">
              <w:rPr>
                <w:rFonts w:ascii="Sylfaen" w:hAnsi="Sylfaen"/>
                <w:sz w:val="20"/>
              </w:rPr>
              <w:t>პერიოდში</w:t>
            </w:r>
            <w:proofErr w:type="spellEnd"/>
            <w:r w:rsidRPr="00E958BB">
              <w:rPr>
                <w:rFonts w:ascii="Sylfaen" w:hAnsi="Sylfaen"/>
                <w:sz w:val="20"/>
              </w:rPr>
              <w:t xml:space="preserve"> </w:t>
            </w:r>
            <w:proofErr w:type="spellStart"/>
            <w:r w:rsidRPr="00E958BB">
              <w:rPr>
                <w:rFonts w:ascii="Sylfaen" w:hAnsi="Sylfaen"/>
                <w:sz w:val="20"/>
              </w:rPr>
              <w:t>მთავრობის</w:t>
            </w:r>
            <w:proofErr w:type="spellEnd"/>
            <w:r w:rsidRPr="00E958BB">
              <w:rPr>
                <w:rFonts w:ascii="Sylfaen" w:hAnsi="Sylfaen"/>
                <w:sz w:val="20"/>
              </w:rPr>
              <w:t xml:space="preserve"> </w:t>
            </w:r>
            <w:proofErr w:type="spellStart"/>
            <w:r w:rsidRPr="00E958BB">
              <w:rPr>
                <w:rFonts w:ascii="Sylfaen" w:hAnsi="Sylfaen"/>
                <w:sz w:val="20"/>
              </w:rPr>
              <w:t>ვალის</w:t>
            </w:r>
            <w:proofErr w:type="spellEnd"/>
            <w:r w:rsidRPr="00E958BB">
              <w:rPr>
                <w:rFonts w:ascii="Sylfaen" w:hAnsi="Sylfaen"/>
                <w:sz w:val="20"/>
              </w:rPr>
              <w:t xml:space="preserve"> </w:t>
            </w:r>
            <w:proofErr w:type="spellStart"/>
            <w:r w:rsidRPr="00E958BB">
              <w:rPr>
                <w:rFonts w:ascii="Sylfaen" w:hAnsi="Sylfaen"/>
                <w:sz w:val="20"/>
              </w:rPr>
              <w:t>მდგრადობის</w:t>
            </w:r>
            <w:proofErr w:type="spellEnd"/>
            <w:r w:rsidRPr="00E958BB">
              <w:rPr>
                <w:rFonts w:ascii="Sylfaen" w:hAnsi="Sylfaen"/>
                <w:sz w:val="20"/>
              </w:rPr>
              <w:t xml:space="preserve"> </w:t>
            </w:r>
            <w:proofErr w:type="spellStart"/>
            <w:r w:rsidRPr="00E958BB">
              <w:rPr>
                <w:rFonts w:ascii="Sylfaen" w:hAnsi="Sylfaen"/>
                <w:sz w:val="20"/>
              </w:rPr>
              <w:t>უზრუნველსაყოფად</w:t>
            </w:r>
            <w:proofErr w:type="spellEnd"/>
            <w:r w:rsidRPr="00E958BB">
              <w:rPr>
                <w:rFonts w:ascii="Sylfaen" w:hAnsi="Sylfaen"/>
                <w:sz w:val="20"/>
              </w:rPr>
              <w:t xml:space="preserve">, </w:t>
            </w:r>
            <w:proofErr w:type="spellStart"/>
            <w:r w:rsidRPr="00E958BB">
              <w:rPr>
                <w:rFonts w:ascii="Sylfaen" w:hAnsi="Sylfaen"/>
                <w:sz w:val="20"/>
              </w:rPr>
              <w:t>მნიშვნელოვანია</w:t>
            </w:r>
            <w:proofErr w:type="spellEnd"/>
            <w:r w:rsidRPr="00E958BB">
              <w:rPr>
                <w:rFonts w:ascii="Sylfaen" w:hAnsi="Sylfaen"/>
                <w:sz w:val="20"/>
              </w:rPr>
              <w:t xml:space="preserve">, </w:t>
            </w:r>
            <w:proofErr w:type="spellStart"/>
            <w:r w:rsidRPr="00E958BB">
              <w:rPr>
                <w:rFonts w:ascii="Sylfaen" w:hAnsi="Sylfaen"/>
                <w:sz w:val="20"/>
              </w:rPr>
              <w:t>ფინანსთა</w:t>
            </w:r>
            <w:proofErr w:type="spellEnd"/>
            <w:r w:rsidRPr="00E958BB">
              <w:rPr>
                <w:rFonts w:ascii="Sylfaen" w:hAnsi="Sylfaen"/>
                <w:sz w:val="20"/>
              </w:rPr>
              <w:t xml:space="preserve"> </w:t>
            </w:r>
            <w:proofErr w:type="spellStart"/>
            <w:r w:rsidRPr="00E958BB">
              <w:rPr>
                <w:rFonts w:ascii="Sylfaen" w:hAnsi="Sylfaen"/>
                <w:sz w:val="20"/>
              </w:rPr>
              <w:t>სამინისტრომ</w:t>
            </w:r>
            <w:proofErr w:type="spellEnd"/>
            <w:r w:rsidRPr="00E958BB">
              <w:rPr>
                <w:rFonts w:ascii="Sylfaen" w:hAnsi="Sylfaen"/>
                <w:sz w:val="20"/>
              </w:rPr>
              <w:t xml:space="preserve"> </w:t>
            </w:r>
            <w:proofErr w:type="spellStart"/>
            <w:r w:rsidRPr="00E958BB">
              <w:rPr>
                <w:rFonts w:ascii="Sylfaen" w:hAnsi="Sylfaen"/>
                <w:sz w:val="20"/>
              </w:rPr>
              <w:t>უზრუნველყოს</w:t>
            </w:r>
            <w:proofErr w:type="spellEnd"/>
            <w:r w:rsidRPr="00E958BB">
              <w:rPr>
                <w:rFonts w:ascii="Sylfaen" w:hAnsi="Sylfaen"/>
                <w:sz w:val="20"/>
              </w:rPr>
              <w:t xml:space="preserve">: </w:t>
            </w:r>
          </w:p>
          <w:p w:rsidR="00E958BB" w:rsidRPr="00E958BB" w:rsidRDefault="00E958BB" w:rsidP="00EB5DD6">
            <w:pPr>
              <w:jc w:val="both"/>
              <w:rPr>
                <w:rFonts w:ascii="Sylfaen" w:hAnsi="Sylfaen"/>
                <w:sz w:val="20"/>
              </w:rPr>
            </w:pPr>
            <w:r w:rsidRPr="00E958BB">
              <w:rPr>
                <w:rFonts w:ascii="Sylfaen" w:hAnsi="Sylfaen"/>
                <w:sz w:val="20"/>
              </w:rPr>
              <w:lastRenderedPageBreak/>
              <w:t>- „</w:t>
            </w:r>
            <w:proofErr w:type="spellStart"/>
            <w:r w:rsidRPr="00E958BB">
              <w:rPr>
                <w:rFonts w:ascii="Sylfaen" w:hAnsi="Sylfaen"/>
                <w:sz w:val="20"/>
              </w:rPr>
              <w:t>მთავრობის</w:t>
            </w:r>
            <w:proofErr w:type="spellEnd"/>
            <w:r w:rsidRPr="00E958BB">
              <w:rPr>
                <w:rFonts w:ascii="Sylfaen" w:hAnsi="Sylfaen"/>
                <w:sz w:val="20"/>
              </w:rPr>
              <w:t xml:space="preserve"> </w:t>
            </w:r>
            <w:proofErr w:type="spellStart"/>
            <w:r w:rsidRPr="00E958BB">
              <w:rPr>
                <w:rFonts w:ascii="Sylfaen" w:hAnsi="Sylfaen"/>
                <w:sz w:val="20"/>
              </w:rPr>
              <w:t>ვალის</w:t>
            </w:r>
            <w:proofErr w:type="spellEnd"/>
            <w:r w:rsidRPr="00E958BB">
              <w:rPr>
                <w:rFonts w:ascii="Sylfaen" w:hAnsi="Sylfaen"/>
                <w:sz w:val="20"/>
              </w:rPr>
              <w:t xml:space="preserve"> </w:t>
            </w:r>
            <w:proofErr w:type="spellStart"/>
            <w:r w:rsidRPr="00E958BB">
              <w:rPr>
                <w:rFonts w:ascii="Sylfaen" w:hAnsi="Sylfaen"/>
                <w:sz w:val="20"/>
              </w:rPr>
              <w:t>მართვის</w:t>
            </w:r>
            <w:proofErr w:type="spellEnd"/>
            <w:r w:rsidRPr="00E958BB">
              <w:rPr>
                <w:rFonts w:ascii="Sylfaen" w:hAnsi="Sylfaen"/>
                <w:sz w:val="20"/>
              </w:rPr>
              <w:t xml:space="preserve"> </w:t>
            </w:r>
            <w:proofErr w:type="spellStart"/>
            <w:r w:rsidRPr="00E958BB">
              <w:rPr>
                <w:rFonts w:ascii="Sylfaen" w:hAnsi="Sylfaen"/>
                <w:sz w:val="20"/>
              </w:rPr>
              <w:t>სტრატეგიის</w:t>
            </w:r>
            <w:proofErr w:type="spellEnd"/>
            <w:r w:rsidRPr="00E958BB">
              <w:rPr>
                <w:rFonts w:ascii="Sylfaen" w:hAnsi="Sylfaen"/>
                <w:sz w:val="20"/>
              </w:rPr>
              <w:t xml:space="preserve">“ </w:t>
            </w:r>
            <w:proofErr w:type="spellStart"/>
            <w:r w:rsidRPr="00E958BB">
              <w:rPr>
                <w:rFonts w:ascii="Sylfaen" w:hAnsi="Sylfaen"/>
                <w:sz w:val="20"/>
              </w:rPr>
              <w:t>დოკუმენტის</w:t>
            </w:r>
            <w:proofErr w:type="spellEnd"/>
            <w:r w:rsidRPr="00E958BB">
              <w:rPr>
                <w:rFonts w:ascii="Sylfaen" w:hAnsi="Sylfaen"/>
                <w:sz w:val="20"/>
              </w:rPr>
              <w:t xml:space="preserve"> </w:t>
            </w:r>
            <w:proofErr w:type="spellStart"/>
            <w:r w:rsidRPr="00E958BB">
              <w:rPr>
                <w:rFonts w:ascii="Sylfaen" w:hAnsi="Sylfaen"/>
                <w:sz w:val="20"/>
              </w:rPr>
              <w:t>დროულად</w:t>
            </w:r>
            <w:proofErr w:type="spellEnd"/>
            <w:r w:rsidRPr="00E958BB">
              <w:rPr>
                <w:rFonts w:ascii="Sylfaen" w:hAnsi="Sylfaen"/>
                <w:sz w:val="20"/>
              </w:rPr>
              <w:t xml:space="preserve"> </w:t>
            </w:r>
            <w:proofErr w:type="spellStart"/>
            <w:r w:rsidRPr="00E958BB">
              <w:rPr>
                <w:rFonts w:ascii="Sylfaen" w:hAnsi="Sylfaen"/>
                <w:sz w:val="20"/>
              </w:rPr>
              <w:t>განახლება</w:t>
            </w:r>
            <w:proofErr w:type="spellEnd"/>
            <w:r w:rsidRPr="00E958BB">
              <w:rPr>
                <w:rFonts w:ascii="Sylfaen" w:hAnsi="Sylfaen"/>
                <w:sz w:val="20"/>
              </w:rPr>
              <w:t xml:space="preserve"> </w:t>
            </w:r>
            <w:proofErr w:type="spellStart"/>
            <w:r w:rsidRPr="00E958BB">
              <w:rPr>
                <w:rFonts w:ascii="Sylfaen" w:hAnsi="Sylfaen"/>
                <w:sz w:val="20"/>
              </w:rPr>
              <w:t>და</w:t>
            </w:r>
            <w:proofErr w:type="spellEnd"/>
            <w:r w:rsidRPr="00E958BB">
              <w:rPr>
                <w:rFonts w:ascii="Sylfaen" w:hAnsi="Sylfaen"/>
                <w:sz w:val="20"/>
              </w:rPr>
              <w:t xml:space="preserve"> </w:t>
            </w:r>
            <w:proofErr w:type="spellStart"/>
            <w:r w:rsidRPr="00E958BB">
              <w:rPr>
                <w:rFonts w:ascii="Sylfaen" w:hAnsi="Sylfaen"/>
                <w:sz w:val="20"/>
              </w:rPr>
              <w:t>მასში</w:t>
            </w:r>
            <w:proofErr w:type="spellEnd"/>
            <w:r w:rsidRPr="00E958BB">
              <w:rPr>
                <w:rFonts w:ascii="Sylfaen" w:hAnsi="Sylfaen"/>
                <w:sz w:val="20"/>
              </w:rPr>
              <w:t xml:space="preserve"> </w:t>
            </w:r>
            <w:proofErr w:type="spellStart"/>
            <w:r w:rsidRPr="00E958BB">
              <w:rPr>
                <w:rFonts w:ascii="Sylfaen" w:hAnsi="Sylfaen"/>
                <w:sz w:val="20"/>
              </w:rPr>
              <w:t>საშუალოვადიან</w:t>
            </w:r>
            <w:proofErr w:type="spellEnd"/>
            <w:r w:rsidRPr="00E958BB">
              <w:rPr>
                <w:rFonts w:ascii="Sylfaen" w:hAnsi="Sylfaen"/>
                <w:sz w:val="20"/>
              </w:rPr>
              <w:t xml:space="preserve"> </w:t>
            </w:r>
            <w:proofErr w:type="spellStart"/>
            <w:r w:rsidRPr="00E958BB">
              <w:rPr>
                <w:rFonts w:ascii="Sylfaen" w:hAnsi="Sylfaen"/>
                <w:sz w:val="20"/>
              </w:rPr>
              <w:t>პერიოდში</w:t>
            </w:r>
            <w:proofErr w:type="spellEnd"/>
            <w:r w:rsidRPr="00E958BB">
              <w:rPr>
                <w:rFonts w:ascii="Sylfaen" w:hAnsi="Sylfaen"/>
                <w:sz w:val="20"/>
              </w:rPr>
              <w:t xml:space="preserve"> </w:t>
            </w:r>
            <w:proofErr w:type="spellStart"/>
            <w:r w:rsidRPr="00E958BB">
              <w:rPr>
                <w:rFonts w:ascii="Sylfaen" w:hAnsi="Sylfaen"/>
                <w:sz w:val="20"/>
              </w:rPr>
              <w:t>ვალის</w:t>
            </w:r>
            <w:proofErr w:type="spellEnd"/>
            <w:r w:rsidRPr="00E958BB">
              <w:rPr>
                <w:rFonts w:ascii="Sylfaen" w:hAnsi="Sylfaen"/>
                <w:sz w:val="20"/>
              </w:rPr>
              <w:t xml:space="preserve"> </w:t>
            </w:r>
            <w:proofErr w:type="spellStart"/>
            <w:r w:rsidRPr="00E958BB">
              <w:rPr>
                <w:rFonts w:ascii="Sylfaen" w:hAnsi="Sylfaen"/>
                <w:sz w:val="20"/>
              </w:rPr>
              <w:t>მართვასთან</w:t>
            </w:r>
            <w:proofErr w:type="spellEnd"/>
            <w:r w:rsidRPr="00E958BB">
              <w:rPr>
                <w:rFonts w:ascii="Sylfaen" w:hAnsi="Sylfaen"/>
                <w:sz w:val="20"/>
              </w:rPr>
              <w:t xml:space="preserve"> </w:t>
            </w:r>
            <w:proofErr w:type="spellStart"/>
            <w:r w:rsidRPr="00E958BB">
              <w:rPr>
                <w:rFonts w:ascii="Sylfaen" w:hAnsi="Sylfaen"/>
                <w:sz w:val="20"/>
              </w:rPr>
              <w:t>დაკავშირებით</w:t>
            </w:r>
            <w:proofErr w:type="spellEnd"/>
            <w:r w:rsidRPr="00E958BB">
              <w:rPr>
                <w:rFonts w:ascii="Sylfaen" w:hAnsi="Sylfaen"/>
                <w:sz w:val="20"/>
              </w:rPr>
              <w:t xml:space="preserve"> </w:t>
            </w:r>
            <w:proofErr w:type="spellStart"/>
            <w:r w:rsidRPr="00E958BB">
              <w:rPr>
                <w:rFonts w:ascii="Sylfaen" w:hAnsi="Sylfaen"/>
                <w:sz w:val="20"/>
              </w:rPr>
              <w:t>მთავრობის</w:t>
            </w:r>
            <w:proofErr w:type="spellEnd"/>
            <w:r w:rsidRPr="00E958BB">
              <w:rPr>
                <w:rFonts w:ascii="Sylfaen" w:hAnsi="Sylfaen"/>
                <w:sz w:val="20"/>
              </w:rPr>
              <w:t xml:space="preserve"> </w:t>
            </w:r>
            <w:proofErr w:type="spellStart"/>
            <w:r w:rsidRPr="00E958BB">
              <w:rPr>
                <w:rFonts w:ascii="Sylfaen" w:hAnsi="Sylfaen"/>
                <w:sz w:val="20"/>
              </w:rPr>
              <w:t>ხედვის</w:t>
            </w:r>
            <w:proofErr w:type="spellEnd"/>
            <w:r w:rsidRPr="00E958BB">
              <w:rPr>
                <w:rFonts w:ascii="Sylfaen" w:hAnsi="Sylfaen"/>
                <w:sz w:val="20"/>
              </w:rPr>
              <w:t xml:space="preserve"> </w:t>
            </w:r>
            <w:proofErr w:type="spellStart"/>
            <w:r w:rsidRPr="00E958BB">
              <w:rPr>
                <w:rFonts w:ascii="Sylfaen" w:hAnsi="Sylfaen"/>
                <w:sz w:val="20"/>
              </w:rPr>
              <w:t>ასახვა</w:t>
            </w:r>
            <w:proofErr w:type="spellEnd"/>
            <w:r w:rsidRPr="00E958BB">
              <w:rPr>
                <w:rFonts w:ascii="Sylfaen" w:hAnsi="Sylfaen"/>
                <w:sz w:val="20"/>
              </w:rPr>
              <w:t xml:space="preserve">; </w:t>
            </w:r>
          </w:p>
          <w:p w:rsidR="00E958BB" w:rsidRPr="00E958BB" w:rsidRDefault="00E958BB" w:rsidP="00EB5DD6">
            <w:pPr>
              <w:jc w:val="both"/>
              <w:rPr>
                <w:rFonts w:ascii="Sylfaen" w:hAnsi="Sylfaen" w:cs="Sylfaen"/>
                <w:sz w:val="20"/>
              </w:rPr>
            </w:pPr>
            <w:r w:rsidRPr="00E958BB">
              <w:rPr>
                <w:rFonts w:ascii="Sylfaen" w:hAnsi="Sylfaen"/>
                <w:sz w:val="20"/>
              </w:rPr>
              <w:t xml:space="preserve">- </w:t>
            </w:r>
            <w:proofErr w:type="spellStart"/>
            <w:proofErr w:type="gramStart"/>
            <w:r w:rsidRPr="00E958BB">
              <w:rPr>
                <w:rFonts w:ascii="Sylfaen" w:hAnsi="Sylfaen"/>
                <w:sz w:val="20"/>
              </w:rPr>
              <w:t>ვალის</w:t>
            </w:r>
            <w:proofErr w:type="spellEnd"/>
            <w:proofErr w:type="gramEnd"/>
            <w:r w:rsidRPr="00E958BB">
              <w:rPr>
                <w:rFonts w:ascii="Sylfaen" w:hAnsi="Sylfaen"/>
                <w:sz w:val="20"/>
              </w:rPr>
              <w:t xml:space="preserve"> </w:t>
            </w:r>
            <w:proofErr w:type="spellStart"/>
            <w:r w:rsidRPr="00E958BB">
              <w:rPr>
                <w:rFonts w:ascii="Sylfaen" w:hAnsi="Sylfaen"/>
                <w:sz w:val="20"/>
              </w:rPr>
              <w:t>მდგრადობის</w:t>
            </w:r>
            <w:proofErr w:type="spellEnd"/>
            <w:r w:rsidRPr="00E958BB">
              <w:rPr>
                <w:rFonts w:ascii="Sylfaen" w:hAnsi="Sylfaen"/>
                <w:sz w:val="20"/>
              </w:rPr>
              <w:t xml:space="preserve"> </w:t>
            </w:r>
            <w:proofErr w:type="spellStart"/>
            <w:r w:rsidRPr="00E958BB">
              <w:rPr>
                <w:rFonts w:ascii="Sylfaen" w:hAnsi="Sylfaen"/>
                <w:sz w:val="20"/>
              </w:rPr>
              <w:t>ანალიზის</w:t>
            </w:r>
            <w:proofErr w:type="spellEnd"/>
            <w:r w:rsidRPr="00E958BB">
              <w:rPr>
                <w:rFonts w:ascii="Sylfaen" w:hAnsi="Sylfaen"/>
                <w:sz w:val="20"/>
              </w:rPr>
              <w:t xml:space="preserve"> </w:t>
            </w:r>
            <w:proofErr w:type="spellStart"/>
            <w:r w:rsidRPr="00E958BB">
              <w:rPr>
                <w:rFonts w:ascii="Sylfaen" w:hAnsi="Sylfaen"/>
                <w:sz w:val="20"/>
              </w:rPr>
              <w:t>დოკუმენტში</w:t>
            </w:r>
            <w:proofErr w:type="spellEnd"/>
            <w:r w:rsidRPr="00E958BB">
              <w:rPr>
                <w:rFonts w:ascii="Sylfaen" w:hAnsi="Sylfaen"/>
                <w:sz w:val="20"/>
              </w:rPr>
              <w:t xml:space="preserve"> </w:t>
            </w:r>
            <w:proofErr w:type="spellStart"/>
            <w:r w:rsidRPr="00E958BB">
              <w:rPr>
                <w:rFonts w:ascii="Sylfaen" w:hAnsi="Sylfaen"/>
                <w:sz w:val="20"/>
              </w:rPr>
              <w:t>ყველა</w:t>
            </w:r>
            <w:proofErr w:type="spellEnd"/>
            <w:r w:rsidRPr="00E958BB">
              <w:rPr>
                <w:rFonts w:ascii="Sylfaen" w:hAnsi="Sylfaen"/>
                <w:sz w:val="20"/>
              </w:rPr>
              <w:t xml:space="preserve"> </w:t>
            </w:r>
            <w:proofErr w:type="spellStart"/>
            <w:r w:rsidRPr="00E958BB">
              <w:rPr>
                <w:rFonts w:ascii="Sylfaen" w:hAnsi="Sylfaen"/>
                <w:sz w:val="20"/>
              </w:rPr>
              <w:t>შესაბამისი</w:t>
            </w:r>
            <w:proofErr w:type="spellEnd"/>
            <w:r w:rsidRPr="00E958BB">
              <w:rPr>
                <w:rFonts w:ascii="Sylfaen" w:hAnsi="Sylfaen"/>
                <w:sz w:val="20"/>
              </w:rPr>
              <w:t xml:space="preserve"> </w:t>
            </w:r>
            <w:proofErr w:type="spellStart"/>
            <w:r w:rsidRPr="00E958BB">
              <w:rPr>
                <w:rFonts w:ascii="Sylfaen" w:hAnsi="Sylfaen"/>
                <w:sz w:val="20"/>
              </w:rPr>
              <w:t>მაჩვენებლის</w:t>
            </w:r>
            <w:proofErr w:type="spellEnd"/>
            <w:r w:rsidRPr="00E958BB">
              <w:rPr>
                <w:rFonts w:ascii="Sylfaen" w:hAnsi="Sylfaen"/>
                <w:sz w:val="20"/>
              </w:rPr>
              <w:t xml:space="preserve"> </w:t>
            </w:r>
            <w:proofErr w:type="spellStart"/>
            <w:r w:rsidRPr="00E958BB">
              <w:rPr>
                <w:rFonts w:ascii="Sylfaen" w:hAnsi="Sylfaen"/>
                <w:sz w:val="20"/>
              </w:rPr>
              <w:t>სრულყოფილად</w:t>
            </w:r>
            <w:proofErr w:type="spellEnd"/>
            <w:r w:rsidRPr="00E958BB">
              <w:rPr>
                <w:rFonts w:ascii="Sylfaen" w:hAnsi="Sylfaen"/>
                <w:sz w:val="20"/>
              </w:rPr>
              <w:t xml:space="preserve"> </w:t>
            </w:r>
            <w:proofErr w:type="spellStart"/>
            <w:r w:rsidRPr="00E958BB">
              <w:rPr>
                <w:rFonts w:ascii="Sylfaen" w:hAnsi="Sylfaen"/>
                <w:sz w:val="20"/>
              </w:rPr>
              <w:t>წარმოდგენა</w:t>
            </w:r>
            <w:proofErr w:type="spellEnd"/>
            <w:r w:rsidRPr="00E958BB">
              <w:rPr>
                <w:rFonts w:ascii="Sylfaen" w:hAnsi="Sylfaen"/>
                <w:sz w:val="20"/>
              </w:rPr>
              <w:t xml:space="preserve"> </w:t>
            </w:r>
            <w:proofErr w:type="spellStart"/>
            <w:r w:rsidRPr="00E958BB">
              <w:rPr>
                <w:rFonts w:ascii="Sylfaen" w:hAnsi="Sylfaen"/>
                <w:sz w:val="20"/>
              </w:rPr>
              <w:t>და</w:t>
            </w:r>
            <w:proofErr w:type="spellEnd"/>
            <w:r w:rsidRPr="00E958BB">
              <w:rPr>
                <w:rFonts w:ascii="Sylfaen" w:hAnsi="Sylfaen"/>
                <w:sz w:val="20"/>
              </w:rPr>
              <w:t xml:space="preserve"> </w:t>
            </w:r>
            <w:proofErr w:type="spellStart"/>
            <w:r w:rsidRPr="00E958BB">
              <w:rPr>
                <w:rFonts w:ascii="Sylfaen" w:hAnsi="Sylfaen"/>
                <w:sz w:val="20"/>
              </w:rPr>
              <w:t>მთავრობის</w:t>
            </w:r>
            <w:proofErr w:type="spellEnd"/>
            <w:r w:rsidRPr="00E958BB">
              <w:rPr>
                <w:rFonts w:ascii="Sylfaen" w:hAnsi="Sylfaen"/>
                <w:sz w:val="20"/>
              </w:rPr>
              <w:t xml:space="preserve"> </w:t>
            </w:r>
            <w:proofErr w:type="spellStart"/>
            <w:r w:rsidRPr="00E958BB">
              <w:rPr>
                <w:rFonts w:ascii="Sylfaen" w:hAnsi="Sylfaen"/>
                <w:sz w:val="20"/>
              </w:rPr>
              <w:t>ვალის</w:t>
            </w:r>
            <w:proofErr w:type="spellEnd"/>
            <w:r w:rsidRPr="00E958BB">
              <w:rPr>
                <w:rFonts w:ascii="Sylfaen" w:hAnsi="Sylfaen"/>
                <w:sz w:val="20"/>
              </w:rPr>
              <w:t xml:space="preserve"> </w:t>
            </w:r>
            <w:proofErr w:type="spellStart"/>
            <w:r w:rsidRPr="00E958BB">
              <w:rPr>
                <w:rFonts w:ascii="Sylfaen" w:hAnsi="Sylfaen"/>
                <w:sz w:val="20"/>
              </w:rPr>
              <w:t>ნაშთთან</w:t>
            </w:r>
            <w:proofErr w:type="spellEnd"/>
            <w:r w:rsidRPr="00E958BB">
              <w:rPr>
                <w:rFonts w:ascii="Sylfaen" w:hAnsi="Sylfaen"/>
                <w:sz w:val="20"/>
              </w:rPr>
              <w:t xml:space="preserve"> </w:t>
            </w:r>
            <w:proofErr w:type="spellStart"/>
            <w:r w:rsidRPr="00E958BB">
              <w:rPr>
                <w:rFonts w:ascii="Sylfaen" w:hAnsi="Sylfaen"/>
                <w:sz w:val="20"/>
              </w:rPr>
              <w:t>ერთად</w:t>
            </w:r>
            <w:proofErr w:type="spellEnd"/>
            <w:r w:rsidRPr="00E958BB">
              <w:rPr>
                <w:rFonts w:ascii="Sylfaen" w:hAnsi="Sylfaen"/>
                <w:sz w:val="20"/>
              </w:rPr>
              <w:t xml:space="preserve">, </w:t>
            </w:r>
            <w:proofErr w:type="spellStart"/>
            <w:r w:rsidRPr="00E958BB">
              <w:rPr>
                <w:rFonts w:ascii="Sylfaen" w:hAnsi="Sylfaen"/>
                <w:sz w:val="20"/>
              </w:rPr>
              <w:t>სხვა</w:t>
            </w:r>
            <w:proofErr w:type="spellEnd"/>
            <w:r w:rsidRPr="00E958BB">
              <w:rPr>
                <w:rFonts w:ascii="Sylfaen" w:hAnsi="Sylfaen"/>
                <w:sz w:val="20"/>
              </w:rPr>
              <w:t xml:space="preserve"> </w:t>
            </w:r>
            <w:proofErr w:type="spellStart"/>
            <w:r w:rsidRPr="00E958BB">
              <w:rPr>
                <w:rFonts w:ascii="Sylfaen" w:hAnsi="Sylfaen"/>
                <w:sz w:val="20"/>
              </w:rPr>
              <w:t>იდენტიფიცირებული</w:t>
            </w:r>
            <w:proofErr w:type="spellEnd"/>
            <w:r w:rsidRPr="00E958BB">
              <w:rPr>
                <w:rFonts w:ascii="Sylfaen" w:hAnsi="Sylfaen"/>
                <w:sz w:val="20"/>
              </w:rPr>
              <w:t xml:space="preserve"> </w:t>
            </w:r>
            <w:proofErr w:type="spellStart"/>
            <w:r w:rsidRPr="00E958BB">
              <w:rPr>
                <w:rFonts w:ascii="Sylfaen" w:hAnsi="Sylfaen"/>
                <w:sz w:val="20"/>
              </w:rPr>
              <w:t>პირდაპირი</w:t>
            </w:r>
            <w:proofErr w:type="spellEnd"/>
            <w:r w:rsidRPr="00E958BB">
              <w:rPr>
                <w:rFonts w:ascii="Sylfaen" w:hAnsi="Sylfaen"/>
                <w:sz w:val="20"/>
              </w:rPr>
              <w:t xml:space="preserve"> </w:t>
            </w:r>
            <w:proofErr w:type="spellStart"/>
            <w:r w:rsidRPr="00E958BB">
              <w:rPr>
                <w:rFonts w:ascii="Sylfaen" w:hAnsi="Sylfaen"/>
                <w:sz w:val="20"/>
              </w:rPr>
              <w:t>და</w:t>
            </w:r>
            <w:proofErr w:type="spellEnd"/>
            <w:r w:rsidRPr="00E958BB">
              <w:rPr>
                <w:rFonts w:ascii="Sylfaen" w:hAnsi="Sylfaen"/>
                <w:sz w:val="20"/>
              </w:rPr>
              <w:t xml:space="preserve"> </w:t>
            </w:r>
            <w:proofErr w:type="spellStart"/>
            <w:r w:rsidRPr="00E958BB">
              <w:rPr>
                <w:rFonts w:ascii="Sylfaen" w:hAnsi="Sylfaen"/>
                <w:sz w:val="20"/>
              </w:rPr>
              <w:t>პირობითი</w:t>
            </w:r>
            <w:proofErr w:type="spellEnd"/>
            <w:r w:rsidRPr="00E958BB">
              <w:rPr>
                <w:rFonts w:ascii="Sylfaen" w:hAnsi="Sylfaen"/>
                <w:sz w:val="20"/>
              </w:rPr>
              <w:t xml:space="preserve"> </w:t>
            </w:r>
            <w:proofErr w:type="spellStart"/>
            <w:r w:rsidRPr="00E958BB">
              <w:rPr>
                <w:rFonts w:ascii="Sylfaen" w:hAnsi="Sylfaen"/>
                <w:sz w:val="20"/>
              </w:rPr>
              <w:t>ვალდებულებების</w:t>
            </w:r>
            <w:proofErr w:type="spellEnd"/>
            <w:r w:rsidRPr="00E958BB">
              <w:rPr>
                <w:rFonts w:ascii="Sylfaen" w:hAnsi="Sylfaen"/>
                <w:sz w:val="20"/>
              </w:rPr>
              <w:t xml:space="preserve"> </w:t>
            </w:r>
            <w:proofErr w:type="spellStart"/>
            <w:r w:rsidRPr="00E958BB">
              <w:rPr>
                <w:rFonts w:ascii="Sylfaen" w:hAnsi="Sylfaen"/>
                <w:sz w:val="20"/>
              </w:rPr>
              <w:t>ასახვა</w:t>
            </w:r>
            <w:proofErr w:type="spellEnd"/>
            <w:r w:rsidRPr="00E958BB">
              <w:rPr>
                <w:rFonts w:ascii="Sylfaen" w:hAnsi="Sylfaen"/>
                <w:sz w:val="20"/>
              </w:rPr>
              <w:t>.</w:t>
            </w:r>
          </w:p>
        </w:tc>
        <w:tc>
          <w:tcPr>
            <w:tcW w:w="1701" w:type="dxa"/>
          </w:tcPr>
          <w:p w:rsidR="00E958BB" w:rsidRPr="00E958BB" w:rsidRDefault="00E958BB" w:rsidP="00EB5DD6">
            <w:pPr>
              <w:jc w:val="center"/>
              <w:rPr>
                <w:rFonts w:ascii="Sylfaen" w:hAnsi="Sylfaen"/>
                <w:sz w:val="20"/>
                <w:lang w:val="ka-GE"/>
              </w:rPr>
            </w:pPr>
            <w:r w:rsidRPr="00E958BB">
              <w:rPr>
                <w:rFonts w:ascii="Sylfaen" w:hAnsi="Sylfaen"/>
                <w:sz w:val="20"/>
                <w:lang w:val="ka-GE"/>
              </w:rPr>
              <w:lastRenderedPageBreak/>
              <w:t>2022-2023</w:t>
            </w:r>
          </w:p>
        </w:tc>
        <w:tc>
          <w:tcPr>
            <w:tcW w:w="1559" w:type="dxa"/>
          </w:tcPr>
          <w:p w:rsidR="00E958BB" w:rsidRPr="00E958BB" w:rsidRDefault="00E958BB" w:rsidP="00EB5DD6">
            <w:pPr>
              <w:jc w:val="center"/>
              <w:rPr>
                <w:rFonts w:ascii="Sylfaen" w:hAnsi="Sylfaen"/>
                <w:sz w:val="20"/>
                <w:lang w:val="ka-GE"/>
              </w:rPr>
            </w:pPr>
            <w:r w:rsidRPr="00E958BB">
              <w:rPr>
                <w:rFonts w:ascii="Sylfaen" w:hAnsi="Sylfaen"/>
                <w:sz w:val="20"/>
                <w:lang w:val="ka-GE"/>
              </w:rPr>
              <w:t>საქართველოს ფინანსთა სამინისტრო</w:t>
            </w:r>
          </w:p>
        </w:tc>
        <w:tc>
          <w:tcPr>
            <w:tcW w:w="2551" w:type="dxa"/>
          </w:tcPr>
          <w:p w:rsidR="00E958BB" w:rsidRPr="00E958BB" w:rsidRDefault="00E958BB" w:rsidP="00EB5DD6">
            <w:pPr>
              <w:jc w:val="both"/>
              <w:rPr>
                <w:rFonts w:ascii="Sylfaen" w:hAnsi="Sylfaen"/>
                <w:sz w:val="20"/>
                <w:lang w:val="ka-GE"/>
              </w:rPr>
            </w:pPr>
            <w:r w:rsidRPr="00E958BB">
              <w:rPr>
                <w:rFonts w:ascii="Sylfaen" w:hAnsi="Sylfaen"/>
                <w:sz w:val="20"/>
                <w:lang w:val="ka-GE"/>
              </w:rPr>
              <w:t xml:space="preserve">საქართველის მთავრობის მიერ მოწონებული ვალის მართვის სტრატეგიის დოკუმენტი განთავსებულია </w:t>
            </w:r>
            <w:r w:rsidRPr="00E958BB">
              <w:rPr>
                <w:rFonts w:ascii="Sylfaen" w:hAnsi="Sylfaen"/>
                <w:sz w:val="20"/>
                <w:lang w:val="ka-GE"/>
              </w:rPr>
              <w:lastRenderedPageBreak/>
              <w:t xml:space="preserve">საქართველოს ფინანსთა სამინისტროს ვებ-გვერდზე - </w:t>
            </w:r>
            <w:hyperlink r:id="rId9" w:history="1">
              <w:r w:rsidRPr="00E958BB">
                <w:rPr>
                  <w:rStyle w:val="Hyperlink"/>
                  <w:rFonts w:ascii="Sylfaen" w:hAnsi="Sylfaen"/>
                  <w:sz w:val="20"/>
                  <w:lang w:val="ka-GE"/>
                </w:rPr>
                <w:t>https://www.mof.ge/5231</w:t>
              </w:r>
            </w:hyperlink>
          </w:p>
          <w:p w:rsidR="00E958BB" w:rsidRPr="00E958BB" w:rsidRDefault="00E958BB" w:rsidP="00EB5DD6">
            <w:pPr>
              <w:jc w:val="both"/>
              <w:rPr>
                <w:rFonts w:ascii="Sylfaen" w:hAnsi="Sylfaen"/>
                <w:sz w:val="20"/>
                <w:lang w:val="ka-GE"/>
              </w:rPr>
            </w:pPr>
          </w:p>
          <w:p w:rsidR="00E958BB" w:rsidRPr="00E958BB" w:rsidRDefault="00E958BB" w:rsidP="00EB5DD6">
            <w:pPr>
              <w:jc w:val="both"/>
              <w:rPr>
                <w:rFonts w:ascii="Sylfaen" w:hAnsi="Sylfaen"/>
                <w:sz w:val="20"/>
                <w:lang w:val="ka-GE"/>
              </w:rPr>
            </w:pPr>
            <w:r w:rsidRPr="00E958BB">
              <w:rPr>
                <w:rFonts w:ascii="Sylfaen" w:hAnsi="Sylfaen"/>
                <w:sz w:val="20"/>
                <w:lang w:val="ka-GE"/>
              </w:rPr>
              <w:t>საქართველოს ფინანსთა სამინისტროს ვებ-გვერდზე განთავსებული, ვალის მდგრადობის განახლებული ანალიზის დოკუმენტი, რომელიც თან ერთვის წლიური ბიუჯეტის კანონს და წარედგინება საქართველოს პარლამენტს.</w:t>
            </w:r>
          </w:p>
        </w:tc>
        <w:tc>
          <w:tcPr>
            <w:tcW w:w="5387" w:type="dxa"/>
          </w:tcPr>
          <w:p w:rsidR="00E958BB" w:rsidRPr="00E958BB" w:rsidRDefault="00E958BB" w:rsidP="00EB5DD6">
            <w:pPr>
              <w:jc w:val="both"/>
              <w:rPr>
                <w:rFonts w:ascii="Sylfaen" w:hAnsi="Sylfaen"/>
                <w:sz w:val="20"/>
                <w:lang w:val="ka-GE"/>
              </w:rPr>
            </w:pPr>
            <w:r w:rsidRPr="00E958BB">
              <w:rPr>
                <w:rFonts w:ascii="Sylfaen" w:hAnsi="Sylfaen"/>
                <w:sz w:val="20"/>
                <w:lang w:val="ka-GE"/>
              </w:rPr>
              <w:lastRenderedPageBreak/>
              <w:t xml:space="preserve">მთავრობის ვალის მართვის სტრატეგია 2022-2025 წლებისთვის მოწონებულია საქართველოს მთავრობის მიერ 2021 წლის 31 დეკემბრის №2430 განკარგულებით. </w:t>
            </w:r>
          </w:p>
          <w:p w:rsidR="00E958BB" w:rsidRPr="00E958BB" w:rsidRDefault="00E958BB" w:rsidP="00EB5DD6">
            <w:pPr>
              <w:jc w:val="both"/>
              <w:rPr>
                <w:rFonts w:ascii="Sylfaen" w:hAnsi="Sylfaen"/>
                <w:sz w:val="20"/>
                <w:lang w:val="ka-GE"/>
              </w:rPr>
            </w:pPr>
          </w:p>
          <w:p w:rsidR="00E958BB" w:rsidRPr="00E958BB" w:rsidRDefault="00E958BB" w:rsidP="00EB5DD6">
            <w:pPr>
              <w:jc w:val="both"/>
              <w:rPr>
                <w:rFonts w:ascii="Sylfaen" w:hAnsi="Sylfaen"/>
                <w:sz w:val="20"/>
                <w:lang w:val="ka-GE"/>
              </w:rPr>
            </w:pPr>
            <w:r w:rsidRPr="00E958BB">
              <w:rPr>
                <w:rFonts w:ascii="Sylfaen" w:hAnsi="Sylfaen"/>
                <w:sz w:val="20"/>
                <w:lang w:val="ka-GE"/>
              </w:rPr>
              <w:t xml:space="preserve">ვალის მდგრადობის ანალიზის უახლესი მეთოდოლოგიის დასაგეგმად საქართველოს ფინანსთა </w:t>
            </w:r>
            <w:r w:rsidRPr="00E958BB">
              <w:rPr>
                <w:rFonts w:ascii="Sylfaen" w:hAnsi="Sylfaen"/>
                <w:sz w:val="20"/>
                <w:lang w:val="ka-GE"/>
              </w:rPr>
              <w:lastRenderedPageBreak/>
              <w:t>სამინისტრომ მიმართა საერთაშორისო სავალუტო ფონდს (სსფ). მოსალოდნელია, რომ სსფ 2022 წლის განმავლობაში შეძლებს ტექნიკური დახმარების მისიის გამოყოფას აღნიშნულ საკითხთან დაკავშირებით.</w:t>
            </w:r>
          </w:p>
        </w:tc>
      </w:tr>
      <w:tr w:rsidR="00E958BB" w:rsidRPr="00EB5DD6" w:rsidTr="00E958BB">
        <w:trPr>
          <w:trHeight w:val="113"/>
        </w:trPr>
        <w:tc>
          <w:tcPr>
            <w:tcW w:w="3234" w:type="dxa"/>
          </w:tcPr>
          <w:p w:rsidR="00E958BB" w:rsidRPr="00E958BB" w:rsidRDefault="00E958BB" w:rsidP="00EB5DD6">
            <w:pPr>
              <w:jc w:val="both"/>
              <w:rPr>
                <w:rFonts w:ascii="Sylfaen" w:hAnsi="Sylfaen" w:cs="Sylfaen"/>
                <w:sz w:val="20"/>
              </w:rPr>
            </w:pPr>
            <w:proofErr w:type="spellStart"/>
            <w:r w:rsidRPr="00E958BB">
              <w:rPr>
                <w:rFonts w:ascii="Sylfaen" w:hAnsi="Sylfaen"/>
                <w:sz w:val="20"/>
              </w:rPr>
              <w:lastRenderedPageBreak/>
              <w:t>ფისკალური</w:t>
            </w:r>
            <w:proofErr w:type="spellEnd"/>
            <w:r w:rsidRPr="00E958BB">
              <w:rPr>
                <w:rFonts w:ascii="Sylfaen" w:hAnsi="Sylfaen"/>
                <w:sz w:val="20"/>
              </w:rPr>
              <w:t xml:space="preserve"> </w:t>
            </w:r>
            <w:proofErr w:type="spellStart"/>
            <w:r w:rsidRPr="00E958BB">
              <w:rPr>
                <w:rFonts w:ascii="Sylfaen" w:hAnsi="Sylfaen"/>
                <w:sz w:val="20"/>
              </w:rPr>
              <w:t>ანგარიშვალდებულებისა</w:t>
            </w:r>
            <w:proofErr w:type="spellEnd"/>
            <w:r w:rsidRPr="00E958BB">
              <w:rPr>
                <w:rFonts w:ascii="Sylfaen" w:hAnsi="Sylfaen"/>
                <w:sz w:val="20"/>
              </w:rPr>
              <w:t xml:space="preserve"> </w:t>
            </w:r>
            <w:proofErr w:type="spellStart"/>
            <w:r w:rsidRPr="00E958BB">
              <w:rPr>
                <w:rFonts w:ascii="Sylfaen" w:hAnsi="Sylfaen"/>
                <w:sz w:val="20"/>
              </w:rPr>
              <w:t>და</w:t>
            </w:r>
            <w:proofErr w:type="spellEnd"/>
            <w:r w:rsidRPr="00E958BB">
              <w:rPr>
                <w:rFonts w:ascii="Sylfaen" w:hAnsi="Sylfaen"/>
                <w:sz w:val="20"/>
              </w:rPr>
              <w:t xml:space="preserve"> </w:t>
            </w:r>
            <w:proofErr w:type="spellStart"/>
            <w:r w:rsidRPr="00E958BB">
              <w:rPr>
                <w:rFonts w:ascii="Sylfaen" w:hAnsi="Sylfaen"/>
                <w:sz w:val="20"/>
              </w:rPr>
              <w:t>გამჭვირვალობის</w:t>
            </w:r>
            <w:proofErr w:type="spellEnd"/>
            <w:r w:rsidRPr="00E958BB">
              <w:rPr>
                <w:rFonts w:ascii="Sylfaen" w:hAnsi="Sylfaen"/>
                <w:sz w:val="20"/>
              </w:rPr>
              <w:t xml:space="preserve"> </w:t>
            </w:r>
            <w:proofErr w:type="spellStart"/>
            <w:r w:rsidRPr="00E958BB">
              <w:rPr>
                <w:rFonts w:ascii="Sylfaen" w:hAnsi="Sylfaen"/>
                <w:sz w:val="20"/>
              </w:rPr>
              <w:t>უზრუნველსაყოფად</w:t>
            </w:r>
            <w:proofErr w:type="spellEnd"/>
            <w:r w:rsidRPr="00E958BB">
              <w:rPr>
                <w:rFonts w:ascii="Sylfaen" w:hAnsi="Sylfaen"/>
                <w:sz w:val="20"/>
              </w:rPr>
              <w:t xml:space="preserve">, </w:t>
            </w:r>
            <w:proofErr w:type="spellStart"/>
            <w:r w:rsidRPr="00E958BB">
              <w:rPr>
                <w:rFonts w:ascii="Sylfaen" w:hAnsi="Sylfaen"/>
                <w:sz w:val="20"/>
              </w:rPr>
              <w:t>მნიშვნელოვანია</w:t>
            </w:r>
            <w:proofErr w:type="spellEnd"/>
            <w:r w:rsidRPr="00E958BB">
              <w:rPr>
                <w:rFonts w:ascii="Sylfaen" w:hAnsi="Sylfaen"/>
                <w:sz w:val="20"/>
              </w:rPr>
              <w:t xml:space="preserve">, </w:t>
            </w:r>
            <w:proofErr w:type="spellStart"/>
            <w:r w:rsidRPr="00E958BB">
              <w:rPr>
                <w:rFonts w:ascii="Sylfaen" w:hAnsi="Sylfaen"/>
                <w:sz w:val="20"/>
              </w:rPr>
              <w:t>ფინანსთა</w:t>
            </w:r>
            <w:proofErr w:type="spellEnd"/>
            <w:r w:rsidRPr="00E958BB">
              <w:rPr>
                <w:rFonts w:ascii="Sylfaen" w:hAnsi="Sylfaen"/>
                <w:sz w:val="20"/>
              </w:rPr>
              <w:t xml:space="preserve"> </w:t>
            </w:r>
            <w:proofErr w:type="spellStart"/>
            <w:r w:rsidRPr="00E958BB">
              <w:rPr>
                <w:rFonts w:ascii="Sylfaen" w:hAnsi="Sylfaen"/>
                <w:sz w:val="20"/>
              </w:rPr>
              <w:t>სამინისტრომ</w:t>
            </w:r>
            <w:proofErr w:type="spellEnd"/>
            <w:r w:rsidRPr="00E958BB">
              <w:rPr>
                <w:rFonts w:ascii="Sylfaen" w:hAnsi="Sylfaen"/>
                <w:sz w:val="20"/>
              </w:rPr>
              <w:t xml:space="preserve"> </w:t>
            </w:r>
            <w:proofErr w:type="spellStart"/>
            <w:r w:rsidRPr="00E958BB">
              <w:rPr>
                <w:rFonts w:ascii="Sylfaen" w:hAnsi="Sylfaen"/>
                <w:sz w:val="20"/>
              </w:rPr>
              <w:t>შეიმუშაოს</w:t>
            </w:r>
            <w:proofErr w:type="spellEnd"/>
            <w:r w:rsidRPr="00E958BB">
              <w:rPr>
                <w:rFonts w:ascii="Sylfaen" w:hAnsi="Sylfaen"/>
                <w:sz w:val="20"/>
              </w:rPr>
              <w:t xml:space="preserve"> </w:t>
            </w:r>
            <w:proofErr w:type="spellStart"/>
            <w:r w:rsidRPr="00E958BB">
              <w:rPr>
                <w:rFonts w:ascii="Sylfaen" w:hAnsi="Sylfaen"/>
                <w:sz w:val="20"/>
              </w:rPr>
              <w:t>გეგმა</w:t>
            </w:r>
            <w:proofErr w:type="spellEnd"/>
            <w:r w:rsidRPr="00E958BB">
              <w:rPr>
                <w:rFonts w:ascii="Sylfaen" w:hAnsi="Sylfaen"/>
                <w:sz w:val="20"/>
              </w:rPr>
              <w:t xml:space="preserve">, </w:t>
            </w:r>
            <w:proofErr w:type="spellStart"/>
            <w:r w:rsidRPr="00E958BB">
              <w:rPr>
                <w:rFonts w:ascii="Sylfaen" w:hAnsi="Sylfaen"/>
                <w:sz w:val="20"/>
              </w:rPr>
              <w:t>რომელშიც</w:t>
            </w:r>
            <w:proofErr w:type="spellEnd"/>
            <w:r w:rsidRPr="00E958BB">
              <w:rPr>
                <w:rFonts w:ascii="Sylfaen" w:hAnsi="Sylfaen"/>
                <w:sz w:val="20"/>
              </w:rPr>
              <w:t xml:space="preserve"> </w:t>
            </w:r>
            <w:proofErr w:type="spellStart"/>
            <w:r w:rsidRPr="00E958BB">
              <w:rPr>
                <w:rFonts w:ascii="Sylfaen" w:hAnsi="Sylfaen"/>
                <w:sz w:val="20"/>
              </w:rPr>
              <w:t>კონკრეტული</w:t>
            </w:r>
            <w:proofErr w:type="spellEnd"/>
            <w:r w:rsidRPr="00E958BB">
              <w:rPr>
                <w:rFonts w:ascii="Sylfaen" w:hAnsi="Sylfaen"/>
                <w:sz w:val="20"/>
              </w:rPr>
              <w:t xml:space="preserve"> </w:t>
            </w:r>
            <w:proofErr w:type="spellStart"/>
            <w:r w:rsidRPr="00E958BB">
              <w:rPr>
                <w:rFonts w:ascii="Sylfaen" w:hAnsi="Sylfaen"/>
                <w:sz w:val="20"/>
              </w:rPr>
              <w:t>ღონისძიებების</w:t>
            </w:r>
            <w:proofErr w:type="spellEnd"/>
            <w:r w:rsidRPr="00E958BB">
              <w:rPr>
                <w:rFonts w:ascii="Sylfaen" w:hAnsi="Sylfaen"/>
                <w:sz w:val="20"/>
              </w:rPr>
              <w:t>/</w:t>
            </w:r>
            <w:proofErr w:type="spellStart"/>
            <w:r w:rsidRPr="00E958BB">
              <w:rPr>
                <w:rFonts w:ascii="Sylfaen" w:hAnsi="Sylfaen"/>
                <w:sz w:val="20"/>
              </w:rPr>
              <w:t>მიდგომების</w:t>
            </w:r>
            <w:proofErr w:type="spellEnd"/>
            <w:r w:rsidRPr="00E958BB">
              <w:rPr>
                <w:rFonts w:ascii="Sylfaen" w:hAnsi="Sylfaen"/>
                <w:sz w:val="20"/>
              </w:rPr>
              <w:t xml:space="preserve"> </w:t>
            </w:r>
            <w:proofErr w:type="spellStart"/>
            <w:r w:rsidRPr="00E958BB">
              <w:rPr>
                <w:rFonts w:ascii="Sylfaen" w:hAnsi="Sylfaen"/>
                <w:sz w:val="20"/>
              </w:rPr>
              <w:t>დონეზე</w:t>
            </w:r>
            <w:proofErr w:type="spellEnd"/>
            <w:r w:rsidRPr="00E958BB">
              <w:rPr>
                <w:rFonts w:ascii="Sylfaen" w:hAnsi="Sylfaen"/>
                <w:sz w:val="20"/>
              </w:rPr>
              <w:t xml:space="preserve"> </w:t>
            </w:r>
            <w:proofErr w:type="spellStart"/>
            <w:r w:rsidRPr="00E958BB">
              <w:rPr>
                <w:rFonts w:ascii="Sylfaen" w:hAnsi="Sylfaen"/>
                <w:sz w:val="20"/>
              </w:rPr>
              <w:t>ასახული</w:t>
            </w:r>
            <w:proofErr w:type="spellEnd"/>
            <w:r w:rsidRPr="00E958BB">
              <w:rPr>
                <w:rFonts w:ascii="Sylfaen" w:hAnsi="Sylfaen"/>
                <w:sz w:val="20"/>
              </w:rPr>
              <w:t xml:space="preserve"> </w:t>
            </w:r>
            <w:proofErr w:type="spellStart"/>
            <w:r w:rsidRPr="00E958BB">
              <w:rPr>
                <w:rFonts w:ascii="Sylfaen" w:hAnsi="Sylfaen"/>
                <w:sz w:val="20"/>
              </w:rPr>
              <w:t>იქნება</w:t>
            </w:r>
            <w:proofErr w:type="spellEnd"/>
            <w:r w:rsidRPr="00E958BB">
              <w:rPr>
                <w:rFonts w:ascii="Sylfaen" w:hAnsi="Sylfaen"/>
                <w:sz w:val="20"/>
              </w:rPr>
              <w:t xml:space="preserve"> </w:t>
            </w:r>
            <w:proofErr w:type="spellStart"/>
            <w:r w:rsidRPr="00E958BB">
              <w:rPr>
                <w:rFonts w:ascii="Sylfaen" w:hAnsi="Sylfaen"/>
                <w:sz w:val="20"/>
              </w:rPr>
              <w:t>ინფორმაცია</w:t>
            </w:r>
            <w:proofErr w:type="spellEnd"/>
            <w:r w:rsidRPr="00E958BB">
              <w:rPr>
                <w:rFonts w:ascii="Sylfaen" w:hAnsi="Sylfaen"/>
                <w:sz w:val="20"/>
              </w:rPr>
              <w:t xml:space="preserve">, </w:t>
            </w:r>
            <w:proofErr w:type="spellStart"/>
            <w:r w:rsidRPr="00E958BB">
              <w:rPr>
                <w:rFonts w:ascii="Sylfaen" w:hAnsi="Sylfaen"/>
                <w:sz w:val="20"/>
              </w:rPr>
              <w:t>სხვადასხვა</w:t>
            </w:r>
            <w:proofErr w:type="spellEnd"/>
            <w:r w:rsidRPr="00E958BB">
              <w:rPr>
                <w:rFonts w:ascii="Sylfaen" w:hAnsi="Sylfaen"/>
                <w:sz w:val="20"/>
              </w:rPr>
              <w:t xml:space="preserve"> </w:t>
            </w:r>
            <w:proofErr w:type="spellStart"/>
            <w:r w:rsidRPr="00E958BB">
              <w:rPr>
                <w:rFonts w:ascii="Sylfaen" w:hAnsi="Sylfaen"/>
                <w:sz w:val="20"/>
              </w:rPr>
              <w:t>სცენარის</w:t>
            </w:r>
            <w:proofErr w:type="spellEnd"/>
            <w:r w:rsidRPr="00E958BB">
              <w:rPr>
                <w:rFonts w:ascii="Sylfaen" w:hAnsi="Sylfaen"/>
                <w:sz w:val="20"/>
              </w:rPr>
              <w:t xml:space="preserve"> </w:t>
            </w:r>
            <w:proofErr w:type="spellStart"/>
            <w:r w:rsidRPr="00E958BB">
              <w:rPr>
                <w:rFonts w:ascii="Sylfaen" w:hAnsi="Sylfaen"/>
                <w:sz w:val="20"/>
              </w:rPr>
              <w:t>განვითარების</w:t>
            </w:r>
            <w:proofErr w:type="spellEnd"/>
            <w:r w:rsidRPr="00E958BB">
              <w:rPr>
                <w:rFonts w:ascii="Sylfaen" w:hAnsi="Sylfaen"/>
                <w:sz w:val="20"/>
              </w:rPr>
              <w:t xml:space="preserve"> </w:t>
            </w:r>
            <w:proofErr w:type="spellStart"/>
            <w:r w:rsidRPr="00E958BB">
              <w:rPr>
                <w:rFonts w:ascii="Sylfaen" w:hAnsi="Sylfaen"/>
                <w:sz w:val="20"/>
              </w:rPr>
              <w:t>შემთხვევაში</w:t>
            </w:r>
            <w:proofErr w:type="spellEnd"/>
            <w:r w:rsidRPr="00E958BB">
              <w:rPr>
                <w:rFonts w:ascii="Sylfaen" w:hAnsi="Sylfaen"/>
                <w:sz w:val="20"/>
              </w:rPr>
              <w:t xml:space="preserve"> </w:t>
            </w:r>
            <w:proofErr w:type="spellStart"/>
            <w:r w:rsidRPr="00E958BB">
              <w:rPr>
                <w:rFonts w:ascii="Sylfaen" w:hAnsi="Sylfaen"/>
                <w:sz w:val="20"/>
              </w:rPr>
              <w:t>ვალის</w:t>
            </w:r>
            <w:proofErr w:type="spellEnd"/>
            <w:r w:rsidRPr="00E958BB">
              <w:rPr>
                <w:rFonts w:ascii="Sylfaen" w:hAnsi="Sylfaen"/>
                <w:sz w:val="20"/>
              </w:rPr>
              <w:t xml:space="preserve"> </w:t>
            </w:r>
            <w:proofErr w:type="spellStart"/>
            <w:r w:rsidRPr="00E958BB">
              <w:rPr>
                <w:rFonts w:ascii="Sylfaen" w:hAnsi="Sylfaen"/>
                <w:sz w:val="20"/>
              </w:rPr>
              <w:t>წესისა</w:t>
            </w:r>
            <w:proofErr w:type="spellEnd"/>
            <w:r w:rsidRPr="00E958BB">
              <w:rPr>
                <w:rFonts w:ascii="Sylfaen" w:hAnsi="Sylfaen"/>
                <w:sz w:val="20"/>
              </w:rPr>
              <w:t xml:space="preserve"> </w:t>
            </w:r>
            <w:proofErr w:type="spellStart"/>
            <w:r w:rsidRPr="00E958BB">
              <w:rPr>
                <w:rFonts w:ascii="Sylfaen" w:hAnsi="Sylfaen"/>
                <w:sz w:val="20"/>
              </w:rPr>
              <w:t>და</w:t>
            </w:r>
            <w:proofErr w:type="spellEnd"/>
            <w:r w:rsidRPr="00E958BB">
              <w:rPr>
                <w:rFonts w:ascii="Sylfaen" w:hAnsi="Sylfaen"/>
                <w:sz w:val="20"/>
              </w:rPr>
              <w:t xml:space="preserve"> </w:t>
            </w:r>
            <w:proofErr w:type="spellStart"/>
            <w:r w:rsidRPr="00E958BB">
              <w:rPr>
                <w:rFonts w:ascii="Sylfaen" w:hAnsi="Sylfaen"/>
                <w:sz w:val="20"/>
              </w:rPr>
              <w:t>ბიუჯეტის</w:t>
            </w:r>
            <w:proofErr w:type="spellEnd"/>
            <w:r w:rsidRPr="00E958BB">
              <w:rPr>
                <w:rFonts w:ascii="Sylfaen" w:hAnsi="Sylfaen"/>
                <w:sz w:val="20"/>
              </w:rPr>
              <w:t xml:space="preserve"> </w:t>
            </w:r>
            <w:proofErr w:type="spellStart"/>
            <w:r w:rsidRPr="00E958BB">
              <w:rPr>
                <w:rFonts w:ascii="Sylfaen" w:hAnsi="Sylfaen"/>
                <w:sz w:val="20"/>
              </w:rPr>
              <w:t>დეფიციტის</w:t>
            </w:r>
            <w:proofErr w:type="spellEnd"/>
            <w:r w:rsidRPr="00E958BB">
              <w:rPr>
                <w:rFonts w:ascii="Sylfaen" w:hAnsi="Sylfaen"/>
                <w:sz w:val="20"/>
              </w:rPr>
              <w:t xml:space="preserve"> </w:t>
            </w:r>
            <w:proofErr w:type="spellStart"/>
            <w:r w:rsidRPr="00E958BB">
              <w:rPr>
                <w:rFonts w:ascii="Sylfaen" w:hAnsi="Sylfaen"/>
                <w:sz w:val="20"/>
              </w:rPr>
              <w:t>მაჩვენებლების</w:t>
            </w:r>
            <w:proofErr w:type="spellEnd"/>
            <w:r w:rsidRPr="00E958BB">
              <w:rPr>
                <w:rFonts w:ascii="Sylfaen" w:hAnsi="Sylfaen"/>
                <w:sz w:val="20"/>
              </w:rPr>
              <w:t xml:space="preserve"> „</w:t>
            </w:r>
            <w:proofErr w:type="spellStart"/>
            <w:r w:rsidRPr="00E958BB">
              <w:rPr>
                <w:rFonts w:ascii="Sylfaen" w:hAnsi="Sylfaen"/>
                <w:sz w:val="20"/>
              </w:rPr>
              <w:t>ეკონომიკური</w:t>
            </w:r>
            <w:proofErr w:type="spellEnd"/>
            <w:r w:rsidRPr="00E958BB">
              <w:rPr>
                <w:rFonts w:ascii="Sylfaen" w:hAnsi="Sylfaen"/>
                <w:sz w:val="20"/>
              </w:rPr>
              <w:t xml:space="preserve"> </w:t>
            </w:r>
            <w:proofErr w:type="spellStart"/>
            <w:r w:rsidRPr="00E958BB">
              <w:rPr>
                <w:rFonts w:ascii="Sylfaen" w:hAnsi="Sylfaen"/>
                <w:sz w:val="20"/>
              </w:rPr>
              <w:t>თავისუფლების</w:t>
            </w:r>
            <w:proofErr w:type="spellEnd"/>
            <w:r w:rsidRPr="00E958BB">
              <w:rPr>
                <w:rFonts w:ascii="Sylfaen" w:hAnsi="Sylfaen"/>
                <w:sz w:val="20"/>
              </w:rPr>
              <w:t xml:space="preserve"> </w:t>
            </w:r>
            <w:proofErr w:type="spellStart"/>
            <w:r w:rsidRPr="00E958BB">
              <w:rPr>
                <w:rFonts w:ascii="Sylfaen" w:hAnsi="Sylfaen"/>
                <w:sz w:val="20"/>
              </w:rPr>
              <w:t>შესახებ</w:t>
            </w:r>
            <w:proofErr w:type="spellEnd"/>
            <w:r w:rsidRPr="00E958BB">
              <w:rPr>
                <w:rFonts w:ascii="Sylfaen" w:hAnsi="Sylfaen"/>
                <w:sz w:val="20"/>
              </w:rPr>
              <w:t xml:space="preserve">“ </w:t>
            </w:r>
            <w:proofErr w:type="spellStart"/>
            <w:r w:rsidRPr="00E958BB">
              <w:rPr>
                <w:rFonts w:ascii="Sylfaen" w:hAnsi="Sylfaen"/>
                <w:sz w:val="20"/>
              </w:rPr>
              <w:t>ორგანული</w:t>
            </w:r>
            <w:proofErr w:type="spellEnd"/>
            <w:r w:rsidRPr="00E958BB">
              <w:rPr>
                <w:rFonts w:ascii="Sylfaen" w:hAnsi="Sylfaen"/>
                <w:sz w:val="20"/>
              </w:rPr>
              <w:t xml:space="preserve"> </w:t>
            </w:r>
            <w:proofErr w:type="spellStart"/>
            <w:r w:rsidRPr="00E958BB">
              <w:rPr>
                <w:rFonts w:ascii="Sylfaen" w:hAnsi="Sylfaen"/>
                <w:sz w:val="20"/>
              </w:rPr>
              <w:t>კანონით</w:t>
            </w:r>
            <w:proofErr w:type="spellEnd"/>
            <w:r w:rsidRPr="00E958BB">
              <w:rPr>
                <w:rFonts w:ascii="Sylfaen" w:hAnsi="Sylfaen"/>
                <w:sz w:val="20"/>
              </w:rPr>
              <w:t xml:space="preserve"> </w:t>
            </w:r>
            <w:proofErr w:type="spellStart"/>
            <w:r w:rsidRPr="00E958BB">
              <w:rPr>
                <w:rFonts w:ascii="Sylfaen" w:hAnsi="Sylfaen"/>
                <w:sz w:val="20"/>
              </w:rPr>
              <w:t>დადგენილ</w:t>
            </w:r>
            <w:proofErr w:type="spellEnd"/>
            <w:r w:rsidRPr="00E958BB">
              <w:rPr>
                <w:rFonts w:ascii="Sylfaen" w:hAnsi="Sylfaen"/>
                <w:sz w:val="20"/>
              </w:rPr>
              <w:t xml:space="preserve"> </w:t>
            </w:r>
            <w:proofErr w:type="spellStart"/>
            <w:r w:rsidRPr="00E958BB">
              <w:rPr>
                <w:rFonts w:ascii="Sylfaen" w:hAnsi="Sylfaen"/>
                <w:sz w:val="20"/>
              </w:rPr>
              <w:t>ზღვრებში</w:t>
            </w:r>
            <w:proofErr w:type="spellEnd"/>
            <w:r w:rsidRPr="00E958BB">
              <w:rPr>
                <w:rFonts w:ascii="Sylfaen" w:hAnsi="Sylfaen"/>
                <w:sz w:val="20"/>
              </w:rPr>
              <w:t xml:space="preserve"> </w:t>
            </w:r>
            <w:proofErr w:type="spellStart"/>
            <w:r w:rsidRPr="00E958BB">
              <w:rPr>
                <w:rFonts w:ascii="Sylfaen" w:hAnsi="Sylfaen"/>
                <w:sz w:val="20"/>
              </w:rPr>
              <w:t>დაბრუნების</w:t>
            </w:r>
            <w:proofErr w:type="spellEnd"/>
            <w:r w:rsidRPr="00E958BB">
              <w:rPr>
                <w:rFonts w:ascii="Sylfaen" w:hAnsi="Sylfaen"/>
                <w:sz w:val="20"/>
              </w:rPr>
              <w:t xml:space="preserve"> </w:t>
            </w:r>
            <w:proofErr w:type="spellStart"/>
            <w:r w:rsidRPr="00E958BB">
              <w:rPr>
                <w:rFonts w:ascii="Sylfaen" w:hAnsi="Sylfaen"/>
                <w:sz w:val="20"/>
              </w:rPr>
              <w:t>შესახებ</w:t>
            </w:r>
            <w:proofErr w:type="spellEnd"/>
            <w:r w:rsidRPr="00E958BB">
              <w:rPr>
                <w:rFonts w:ascii="Sylfaen" w:hAnsi="Sylfaen"/>
                <w:sz w:val="20"/>
              </w:rPr>
              <w:t>.</w:t>
            </w:r>
          </w:p>
        </w:tc>
        <w:tc>
          <w:tcPr>
            <w:tcW w:w="1701" w:type="dxa"/>
          </w:tcPr>
          <w:p w:rsidR="00E958BB" w:rsidRPr="00E958BB" w:rsidRDefault="00E958BB" w:rsidP="00EB5DD6">
            <w:pPr>
              <w:jc w:val="center"/>
              <w:rPr>
                <w:rFonts w:ascii="Sylfaen" w:hAnsi="Sylfaen"/>
                <w:sz w:val="20"/>
                <w:lang w:val="ka-GE"/>
              </w:rPr>
            </w:pPr>
            <w:r w:rsidRPr="00E958BB">
              <w:rPr>
                <w:rFonts w:ascii="Sylfaen" w:hAnsi="Sylfaen"/>
                <w:sz w:val="20"/>
                <w:lang w:val="ka-GE"/>
              </w:rPr>
              <w:t>2020-2023</w:t>
            </w:r>
          </w:p>
        </w:tc>
        <w:tc>
          <w:tcPr>
            <w:tcW w:w="1559" w:type="dxa"/>
          </w:tcPr>
          <w:p w:rsidR="00E958BB" w:rsidRPr="00E958BB" w:rsidRDefault="00E958BB" w:rsidP="00EB5DD6">
            <w:pPr>
              <w:jc w:val="center"/>
              <w:rPr>
                <w:rFonts w:ascii="Sylfaen" w:hAnsi="Sylfaen"/>
                <w:sz w:val="20"/>
                <w:lang w:val="ka-GE"/>
              </w:rPr>
            </w:pPr>
            <w:r w:rsidRPr="00E958BB">
              <w:rPr>
                <w:rFonts w:ascii="Sylfaen" w:hAnsi="Sylfaen"/>
                <w:sz w:val="20"/>
                <w:lang w:val="ka-GE"/>
              </w:rPr>
              <w:t>საქართველოს ფინანსთა სამინისტრო</w:t>
            </w:r>
          </w:p>
        </w:tc>
        <w:tc>
          <w:tcPr>
            <w:tcW w:w="2551" w:type="dxa"/>
          </w:tcPr>
          <w:p w:rsidR="00E958BB" w:rsidRPr="00E958BB" w:rsidRDefault="00E958BB" w:rsidP="00EB5DD6">
            <w:pPr>
              <w:jc w:val="both"/>
              <w:rPr>
                <w:rFonts w:ascii="Sylfaen" w:hAnsi="Sylfaen"/>
                <w:sz w:val="20"/>
                <w:lang w:val="ka-GE"/>
              </w:rPr>
            </w:pPr>
          </w:p>
        </w:tc>
        <w:tc>
          <w:tcPr>
            <w:tcW w:w="5387" w:type="dxa"/>
            <w:vAlign w:val="center"/>
          </w:tcPr>
          <w:p w:rsidR="00E958BB" w:rsidRPr="00E958BB" w:rsidRDefault="00E958BB" w:rsidP="00EB5DD6">
            <w:pPr>
              <w:jc w:val="both"/>
              <w:rPr>
                <w:rFonts w:ascii="Sylfaen" w:hAnsi="Sylfaen"/>
                <w:sz w:val="20"/>
                <w:lang w:val="ka-GE"/>
              </w:rPr>
            </w:pPr>
            <w:r w:rsidRPr="00E958BB">
              <w:rPr>
                <w:rFonts w:ascii="Sylfaen" w:hAnsi="Sylfaen"/>
                <w:sz w:val="20"/>
                <w:lang w:val="ka-GE"/>
              </w:rPr>
              <w:t xml:space="preserve">„საქართველოს 2021 წლის სახელმწიფო ბიუჯეტის შესახებ“ საქართველოს კანონს დანართის სახით თან ერთვის „საშუალოვადიანი პროგნოზების შედარება და „ეკონომიკური თავისუფლების შესახებ“ საქართველოს ორგანული კანონით განსაზღვრული ფისკალური წესებით გათვალისწინებულ ზღვრებში დაბრუნების პროგნოზი“, რომელიც ითვალისწინებს „ეკონომიკური თავისუფლების შესახებ“ საქართველოს ორგანული კანონით განსაზღვრულ პარამეტრებში დაბრუნებას 2023 წლიდან და განთავსებულია საქართველოს ფინანსთა სამინისტროს ვებ-გვერდზე: </w:t>
            </w:r>
          </w:p>
          <w:p w:rsidR="00E958BB" w:rsidRPr="00E958BB" w:rsidRDefault="00C95F54" w:rsidP="00EB5DD6">
            <w:pPr>
              <w:rPr>
                <w:rFonts w:ascii="Sylfaen" w:hAnsi="Sylfaen"/>
                <w:sz w:val="20"/>
                <w:lang w:val="ka-GE"/>
              </w:rPr>
            </w:pPr>
            <w:hyperlink r:id="rId10" w:history="1">
              <w:r w:rsidR="00E958BB" w:rsidRPr="00E958BB">
                <w:rPr>
                  <w:rStyle w:val="Hyperlink"/>
                  <w:rFonts w:ascii="Sylfaen" w:hAnsi="Sylfaen"/>
                  <w:sz w:val="20"/>
                  <w:lang w:val="ka-GE"/>
                </w:rPr>
                <w:t>https://www.mof.ge/images/File/2021-biujeti/10-12-2021/danartebi/11.prognozebis%20shedareba%202021.docx</w:t>
              </w:r>
            </w:hyperlink>
            <w:r w:rsidR="00E958BB" w:rsidRPr="00E958BB">
              <w:rPr>
                <w:rFonts w:ascii="Sylfaen" w:hAnsi="Sylfaen"/>
                <w:sz w:val="20"/>
                <w:lang w:val="ka-GE"/>
              </w:rPr>
              <w:t xml:space="preserve"> </w:t>
            </w:r>
          </w:p>
          <w:p w:rsidR="00E958BB" w:rsidRPr="00E958BB" w:rsidRDefault="00E958BB" w:rsidP="00EB5DD6">
            <w:pPr>
              <w:jc w:val="both"/>
              <w:rPr>
                <w:rFonts w:ascii="Sylfaen" w:hAnsi="Sylfaen"/>
                <w:sz w:val="20"/>
                <w:lang w:val="ka-GE"/>
              </w:rPr>
            </w:pPr>
            <w:r w:rsidRPr="00E958BB">
              <w:rPr>
                <w:rFonts w:ascii="Sylfaen" w:hAnsi="Sylfaen"/>
                <w:sz w:val="20"/>
                <w:lang w:val="ka-GE"/>
              </w:rPr>
              <w:t>„საქართველოს 2022 წლის სახელმწიფო ბიუჯეტის შესახებ“ საქართველოს კანონს ასევე ერთვის აღნიშნული განახლებული ინფორმაცია, რომელიც განთავსებულია საქართველოს ფინანსთა სამინისტროს ვებ-გვერდზე:</w:t>
            </w:r>
          </w:p>
          <w:p w:rsidR="00E958BB" w:rsidRPr="00E958BB" w:rsidRDefault="00C95F54" w:rsidP="00EB5DD6">
            <w:pPr>
              <w:rPr>
                <w:rFonts w:ascii="Sylfaen" w:hAnsi="Sylfaen"/>
                <w:sz w:val="20"/>
                <w:lang w:val="ka-GE"/>
              </w:rPr>
            </w:pPr>
            <w:hyperlink r:id="rId11" w:history="1">
              <w:r w:rsidR="00E958BB" w:rsidRPr="00E958BB">
                <w:rPr>
                  <w:rStyle w:val="Hyperlink"/>
                  <w:rFonts w:ascii="Sylfaen" w:hAnsi="Sylfaen"/>
                  <w:sz w:val="20"/>
                  <w:lang w:val="ka-GE"/>
                </w:rPr>
                <w:t>https://www.mof.ge/images/File/2022-biujeti/21-12-2021/DanarTebi/21.prognozebis%20shedareba%202022%20-3.docx</w:t>
              </w:r>
            </w:hyperlink>
            <w:r w:rsidR="00E958BB" w:rsidRPr="00E958BB">
              <w:rPr>
                <w:rFonts w:ascii="Sylfaen" w:hAnsi="Sylfaen"/>
                <w:sz w:val="20"/>
                <w:lang w:val="ka-GE"/>
              </w:rPr>
              <w:t xml:space="preserve"> </w:t>
            </w:r>
          </w:p>
        </w:tc>
      </w:tr>
      <w:tr w:rsidR="00E958BB" w:rsidRPr="00E958BB" w:rsidTr="00E958BB">
        <w:trPr>
          <w:trHeight w:val="113"/>
        </w:trPr>
        <w:tc>
          <w:tcPr>
            <w:tcW w:w="3234" w:type="dxa"/>
          </w:tcPr>
          <w:p w:rsidR="00E958BB" w:rsidRPr="00E958BB" w:rsidRDefault="00E958BB" w:rsidP="00EB5DD6">
            <w:pPr>
              <w:jc w:val="both"/>
              <w:rPr>
                <w:rFonts w:ascii="Sylfaen" w:hAnsi="Sylfaen" w:cs="Sylfaen"/>
                <w:sz w:val="20"/>
              </w:rPr>
            </w:pPr>
            <w:proofErr w:type="spellStart"/>
            <w:r w:rsidRPr="00E958BB">
              <w:rPr>
                <w:rFonts w:ascii="Sylfaen" w:hAnsi="Sylfaen"/>
                <w:sz w:val="20"/>
              </w:rPr>
              <w:lastRenderedPageBreak/>
              <w:t>მიზანშეწონილია</w:t>
            </w:r>
            <w:proofErr w:type="spellEnd"/>
            <w:r w:rsidRPr="00E958BB">
              <w:rPr>
                <w:rFonts w:ascii="Sylfaen" w:hAnsi="Sylfaen"/>
                <w:sz w:val="20"/>
              </w:rPr>
              <w:t xml:space="preserve">, </w:t>
            </w:r>
            <w:proofErr w:type="spellStart"/>
            <w:r w:rsidRPr="00E958BB">
              <w:rPr>
                <w:rFonts w:ascii="Sylfaen" w:hAnsi="Sylfaen"/>
                <w:sz w:val="20"/>
              </w:rPr>
              <w:t>შემუშავდეს</w:t>
            </w:r>
            <w:proofErr w:type="spellEnd"/>
            <w:r w:rsidRPr="00E958BB">
              <w:rPr>
                <w:rFonts w:ascii="Sylfaen" w:hAnsi="Sylfaen"/>
                <w:sz w:val="20"/>
              </w:rPr>
              <w:t xml:space="preserve"> </w:t>
            </w:r>
            <w:proofErr w:type="spellStart"/>
            <w:r w:rsidRPr="00E958BB">
              <w:rPr>
                <w:rFonts w:ascii="Sylfaen" w:hAnsi="Sylfaen"/>
                <w:sz w:val="20"/>
              </w:rPr>
              <w:t>მექანიზმი</w:t>
            </w:r>
            <w:proofErr w:type="spellEnd"/>
            <w:r w:rsidRPr="00E958BB">
              <w:rPr>
                <w:rFonts w:ascii="Sylfaen" w:hAnsi="Sylfaen"/>
                <w:sz w:val="20"/>
              </w:rPr>
              <w:t xml:space="preserve">, </w:t>
            </w:r>
            <w:proofErr w:type="spellStart"/>
            <w:r w:rsidRPr="00E958BB">
              <w:rPr>
                <w:rFonts w:ascii="Sylfaen" w:hAnsi="Sylfaen"/>
                <w:sz w:val="20"/>
              </w:rPr>
              <w:t>რომელიც</w:t>
            </w:r>
            <w:proofErr w:type="spellEnd"/>
            <w:r w:rsidRPr="00E958BB">
              <w:rPr>
                <w:rFonts w:ascii="Sylfaen" w:hAnsi="Sylfaen"/>
                <w:sz w:val="20"/>
              </w:rPr>
              <w:t xml:space="preserve"> </w:t>
            </w:r>
            <w:proofErr w:type="spellStart"/>
            <w:r w:rsidRPr="00E958BB">
              <w:rPr>
                <w:rFonts w:ascii="Sylfaen" w:hAnsi="Sylfaen"/>
                <w:sz w:val="20"/>
              </w:rPr>
              <w:t>უზრუნველყოფს</w:t>
            </w:r>
            <w:proofErr w:type="spellEnd"/>
            <w:r w:rsidRPr="00E958BB">
              <w:rPr>
                <w:rFonts w:ascii="Sylfaen" w:hAnsi="Sylfaen"/>
                <w:sz w:val="20"/>
              </w:rPr>
              <w:t xml:space="preserve"> </w:t>
            </w:r>
            <w:proofErr w:type="spellStart"/>
            <w:r w:rsidRPr="00E958BB">
              <w:rPr>
                <w:rFonts w:ascii="Sylfaen" w:hAnsi="Sylfaen"/>
                <w:sz w:val="20"/>
              </w:rPr>
              <w:t>მხარჯავი</w:t>
            </w:r>
            <w:proofErr w:type="spellEnd"/>
            <w:r w:rsidRPr="00E958BB">
              <w:rPr>
                <w:rFonts w:ascii="Sylfaen" w:hAnsi="Sylfaen"/>
                <w:sz w:val="20"/>
              </w:rPr>
              <w:t xml:space="preserve"> </w:t>
            </w:r>
            <w:proofErr w:type="spellStart"/>
            <w:r w:rsidRPr="00E958BB">
              <w:rPr>
                <w:rFonts w:ascii="Sylfaen" w:hAnsi="Sylfaen"/>
                <w:sz w:val="20"/>
              </w:rPr>
              <w:t>დაწესებულებების</w:t>
            </w:r>
            <w:proofErr w:type="spellEnd"/>
            <w:r w:rsidRPr="00E958BB">
              <w:rPr>
                <w:rFonts w:ascii="Sylfaen" w:hAnsi="Sylfaen"/>
                <w:sz w:val="20"/>
              </w:rPr>
              <w:t xml:space="preserve"> </w:t>
            </w:r>
            <w:proofErr w:type="spellStart"/>
            <w:r w:rsidRPr="00E958BB">
              <w:rPr>
                <w:rFonts w:ascii="Sylfaen" w:hAnsi="Sylfaen"/>
                <w:sz w:val="20"/>
              </w:rPr>
              <w:t>მიერ</w:t>
            </w:r>
            <w:proofErr w:type="spellEnd"/>
            <w:r w:rsidRPr="00E958BB">
              <w:rPr>
                <w:rFonts w:ascii="Sylfaen" w:hAnsi="Sylfaen"/>
                <w:sz w:val="20"/>
              </w:rPr>
              <w:t xml:space="preserve"> </w:t>
            </w:r>
            <w:proofErr w:type="spellStart"/>
            <w:r w:rsidRPr="00E958BB">
              <w:rPr>
                <w:rFonts w:ascii="Sylfaen" w:hAnsi="Sylfaen"/>
                <w:sz w:val="20"/>
              </w:rPr>
              <w:t>პროექტების</w:t>
            </w:r>
            <w:proofErr w:type="spellEnd"/>
            <w:r w:rsidRPr="00E958BB">
              <w:rPr>
                <w:rFonts w:ascii="Sylfaen" w:hAnsi="Sylfaen"/>
                <w:sz w:val="20"/>
              </w:rPr>
              <w:t xml:space="preserve"> </w:t>
            </w:r>
            <w:proofErr w:type="spellStart"/>
            <w:r w:rsidRPr="00E958BB">
              <w:rPr>
                <w:rFonts w:ascii="Sylfaen" w:hAnsi="Sylfaen"/>
                <w:sz w:val="20"/>
              </w:rPr>
              <w:t>კაპიტალურად</w:t>
            </w:r>
            <w:proofErr w:type="spellEnd"/>
            <w:r w:rsidRPr="00E958BB">
              <w:rPr>
                <w:rFonts w:ascii="Sylfaen" w:hAnsi="Sylfaen"/>
                <w:sz w:val="20"/>
              </w:rPr>
              <w:t xml:space="preserve"> </w:t>
            </w:r>
            <w:proofErr w:type="spellStart"/>
            <w:r w:rsidRPr="00E958BB">
              <w:rPr>
                <w:rFonts w:ascii="Sylfaen" w:hAnsi="Sylfaen"/>
                <w:sz w:val="20"/>
              </w:rPr>
              <w:t>კლასიფიკაციის</w:t>
            </w:r>
            <w:proofErr w:type="spellEnd"/>
            <w:r w:rsidRPr="00E958BB">
              <w:rPr>
                <w:rFonts w:ascii="Sylfaen" w:hAnsi="Sylfaen"/>
                <w:sz w:val="20"/>
              </w:rPr>
              <w:t xml:space="preserve"> </w:t>
            </w:r>
            <w:proofErr w:type="spellStart"/>
            <w:r w:rsidRPr="00E958BB">
              <w:rPr>
                <w:rFonts w:ascii="Sylfaen" w:hAnsi="Sylfaen"/>
                <w:sz w:val="20"/>
              </w:rPr>
              <w:t>პროცესზე</w:t>
            </w:r>
            <w:proofErr w:type="spellEnd"/>
            <w:r w:rsidRPr="00E958BB">
              <w:rPr>
                <w:rFonts w:ascii="Sylfaen" w:hAnsi="Sylfaen"/>
                <w:sz w:val="20"/>
              </w:rPr>
              <w:t xml:space="preserve"> </w:t>
            </w:r>
            <w:proofErr w:type="spellStart"/>
            <w:r w:rsidRPr="00E958BB">
              <w:rPr>
                <w:rFonts w:ascii="Sylfaen" w:hAnsi="Sylfaen"/>
                <w:sz w:val="20"/>
              </w:rPr>
              <w:t>ზედამხედველობას</w:t>
            </w:r>
            <w:proofErr w:type="spellEnd"/>
            <w:r w:rsidRPr="00E958BB">
              <w:rPr>
                <w:rFonts w:ascii="Sylfaen" w:hAnsi="Sylfaen"/>
                <w:sz w:val="20"/>
              </w:rPr>
              <w:t xml:space="preserve">, </w:t>
            </w:r>
            <w:proofErr w:type="spellStart"/>
            <w:r w:rsidRPr="00E958BB">
              <w:rPr>
                <w:rFonts w:ascii="Sylfaen" w:hAnsi="Sylfaen"/>
                <w:sz w:val="20"/>
              </w:rPr>
              <w:t>რაც</w:t>
            </w:r>
            <w:proofErr w:type="spellEnd"/>
            <w:r w:rsidRPr="00E958BB">
              <w:rPr>
                <w:rFonts w:ascii="Sylfaen" w:hAnsi="Sylfaen"/>
                <w:sz w:val="20"/>
              </w:rPr>
              <w:t xml:space="preserve"> </w:t>
            </w:r>
            <w:proofErr w:type="spellStart"/>
            <w:r w:rsidRPr="00E958BB">
              <w:rPr>
                <w:rFonts w:ascii="Sylfaen" w:hAnsi="Sylfaen"/>
                <w:sz w:val="20"/>
              </w:rPr>
              <w:t>ერთი</w:t>
            </w:r>
            <w:proofErr w:type="spellEnd"/>
            <w:r w:rsidRPr="00E958BB">
              <w:rPr>
                <w:rFonts w:ascii="Sylfaen" w:hAnsi="Sylfaen"/>
                <w:sz w:val="20"/>
              </w:rPr>
              <w:t xml:space="preserve"> </w:t>
            </w:r>
            <w:proofErr w:type="spellStart"/>
            <w:r w:rsidRPr="00E958BB">
              <w:rPr>
                <w:rFonts w:ascii="Sylfaen" w:hAnsi="Sylfaen"/>
                <w:sz w:val="20"/>
              </w:rPr>
              <w:t>მხრივ</w:t>
            </w:r>
            <w:proofErr w:type="spellEnd"/>
            <w:r w:rsidRPr="00E958BB">
              <w:rPr>
                <w:rFonts w:ascii="Sylfaen" w:hAnsi="Sylfaen"/>
                <w:sz w:val="20"/>
              </w:rPr>
              <w:t xml:space="preserve">, </w:t>
            </w:r>
            <w:proofErr w:type="spellStart"/>
            <w:r w:rsidRPr="00E958BB">
              <w:rPr>
                <w:rFonts w:ascii="Sylfaen" w:hAnsi="Sylfaen"/>
                <w:sz w:val="20"/>
              </w:rPr>
              <w:t>განაპირობებს</w:t>
            </w:r>
            <w:proofErr w:type="spellEnd"/>
            <w:r w:rsidRPr="00E958BB">
              <w:rPr>
                <w:rFonts w:ascii="Sylfaen" w:hAnsi="Sylfaen"/>
                <w:sz w:val="20"/>
              </w:rPr>
              <w:t xml:space="preserve"> </w:t>
            </w:r>
            <w:proofErr w:type="spellStart"/>
            <w:r w:rsidRPr="00E958BB">
              <w:rPr>
                <w:rFonts w:ascii="Sylfaen" w:hAnsi="Sylfaen"/>
                <w:sz w:val="20"/>
              </w:rPr>
              <w:t>მათ</w:t>
            </w:r>
            <w:proofErr w:type="spellEnd"/>
            <w:r w:rsidRPr="00E958BB">
              <w:rPr>
                <w:rFonts w:ascii="Sylfaen" w:hAnsi="Sylfaen"/>
                <w:sz w:val="20"/>
              </w:rPr>
              <w:t xml:space="preserve"> </w:t>
            </w:r>
            <w:proofErr w:type="spellStart"/>
            <w:r w:rsidRPr="00E958BB">
              <w:rPr>
                <w:rFonts w:ascii="Sylfaen" w:hAnsi="Sylfaen"/>
                <w:sz w:val="20"/>
              </w:rPr>
              <w:t>განხორციელებას</w:t>
            </w:r>
            <w:proofErr w:type="spellEnd"/>
            <w:r w:rsidRPr="00E958BB">
              <w:rPr>
                <w:rFonts w:ascii="Sylfaen" w:hAnsi="Sylfaen"/>
                <w:sz w:val="20"/>
              </w:rPr>
              <w:t xml:space="preserve"> „</w:t>
            </w:r>
            <w:proofErr w:type="spellStart"/>
            <w:r w:rsidRPr="00E958BB">
              <w:rPr>
                <w:rFonts w:ascii="Sylfaen" w:hAnsi="Sylfaen"/>
                <w:sz w:val="20"/>
              </w:rPr>
              <w:t>კაპიტალური</w:t>
            </w:r>
            <w:proofErr w:type="spellEnd"/>
            <w:r w:rsidRPr="00E958BB">
              <w:rPr>
                <w:rFonts w:ascii="Sylfaen" w:hAnsi="Sylfaen"/>
                <w:sz w:val="20"/>
              </w:rPr>
              <w:t xml:space="preserve"> </w:t>
            </w:r>
            <w:proofErr w:type="spellStart"/>
            <w:r w:rsidRPr="00E958BB">
              <w:rPr>
                <w:rFonts w:ascii="Sylfaen" w:hAnsi="Sylfaen"/>
                <w:sz w:val="20"/>
              </w:rPr>
              <w:t>პროექტების</w:t>
            </w:r>
            <w:proofErr w:type="spellEnd"/>
            <w:r w:rsidRPr="00E958BB">
              <w:rPr>
                <w:rFonts w:ascii="Sylfaen" w:hAnsi="Sylfaen"/>
                <w:sz w:val="20"/>
              </w:rPr>
              <w:t xml:space="preserve"> </w:t>
            </w:r>
            <w:proofErr w:type="spellStart"/>
            <w:r w:rsidRPr="00E958BB">
              <w:rPr>
                <w:rFonts w:ascii="Sylfaen" w:hAnsi="Sylfaen"/>
                <w:sz w:val="20"/>
              </w:rPr>
              <w:t>მართვის</w:t>
            </w:r>
            <w:proofErr w:type="spellEnd"/>
            <w:r w:rsidRPr="00E958BB">
              <w:rPr>
                <w:rFonts w:ascii="Sylfaen" w:hAnsi="Sylfaen"/>
                <w:sz w:val="20"/>
              </w:rPr>
              <w:t xml:space="preserve"> </w:t>
            </w:r>
            <w:proofErr w:type="spellStart"/>
            <w:r w:rsidRPr="00E958BB">
              <w:rPr>
                <w:rFonts w:ascii="Sylfaen" w:hAnsi="Sylfaen"/>
                <w:sz w:val="20"/>
              </w:rPr>
              <w:t>გზამკვლევისა</w:t>
            </w:r>
            <w:proofErr w:type="spellEnd"/>
            <w:r w:rsidRPr="00E958BB">
              <w:rPr>
                <w:rFonts w:ascii="Sylfaen" w:hAnsi="Sylfaen"/>
                <w:sz w:val="20"/>
              </w:rPr>
              <w:t xml:space="preserve">“ </w:t>
            </w:r>
            <w:proofErr w:type="spellStart"/>
            <w:r w:rsidRPr="00E958BB">
              <w:rPr>
                <w:rFonts w:ascii="Sylfaen" w:hAnsi="Sylfaen"/>
                <w:sz w:val="20"/>
              </w:rPr>
              <w:t>და</w:t>
            </w:r>
            <w:proofErr w:type="spellEnd"/>
            <w:r w:rsidRPr="00E958BB">
              <w:rPr>
                <w:rFonts w:ascii="Sylfaen" w:hAnsi="Sylfaen"/>
                <w:sz w:val="20"/>
              </w:rPr>
              <w:t xml:space="preserve"> „</w:t>
            </w:r>
            <w:proofErr w:type="spellStart"/>
            <w:r w:rsidRPr="00E958BB">
              <w:rPr>
                <w:rFonts w:ascii="Sylfaen" w:hAnsi="Sylfaen"/>
                <w:sz w:val="20"/>
              </w:rPr>
              <w:t>კაპიტალური</w:t>
            </w:r>
            <w:proofErr w:type="spellEnd"/>
            <w:r w:rsidRPr="00E958BB">
              <w:rPr>
                <w:rFonts w:ascii="Sylfaen" w:hAnsi="Sylfaen"/>
                <w:sz w:val="20"/>
              </w:rPr>
              <w:t xml:space="preserve"> </w:t>
            </w:r>
            <w:proofErr w:type="spellStart"/>
            <w:r w:rsidRPr="00E958BB">
              <w:rPr>
                <w:rFonts w:ascii="Sylfaen" w:hAnsi="Sylfaen"/>
                <w:sz w:val="20"/>
              </w:rPr>
              <w:t>პროექტების</w:t>
            </w:r>
            <w:proofErr w:type="spellEnd"/>
            <w:r w:rsidRPr="00E958BB">
              <w:rPr>
                <w:rFonts w:ascii="Sylfaen" w:hAnsi="Sylfaen"/>
                <w:sz w:val="20"/>
              </w:rPr>
              <w:t xml:space="preserve"> </w:t>
            </w:r>
            <w:proofErr w:type="spellStart"/>
            <w:r w:rsidRPr="00E958BB">
              <w:rPr>
                <w:rFonts w:ascii="Sylfaen" w:hAnsi="Sylfaen"/>
                <w:sz w:val="20"/>
              </w:rPr>
              <w:t>მართვის</w:t>
            </w:r>
            <w:proofErr w:type="spellEnd"/>
            <w:r w:rsidRPr="00E958BB">
              <w:rPr>
                <w:rFonts w:ascii="Sylfaen" w:hAnsi="Sylfaen"/>
                <w:sz w:val="20"/>
              </w:rPr>
              <w:t xml:space="preserve"> </w:t>
            </w:r>
            <w:proofErr w:type="spellStart"/>
            <w:r w:rsidRPr="00E958BB">
              <w:rPr>
                <w:rFonts w:ascii="Sylfaen" w:hAnsi="Sylfaen"/>
                <w:sz w:val="20"/>
              </w:rPr>
              <w:t>მეთოდოლოგიის</w:t>
            </w:r>
            <w:proofErr w:type="spellEnd"/>
            <w:r w:rsidRPr="00E958BB">
              <w:rPr>
                <w:rFonts w:ascii="Sylfaen" w:hAnsi="Sylfaen"/>
                <w:sz w:val="20"/>
              </w:rPr>
              <w:t xml:space="preserve">“ </w:t>
            </w:r>
            <w:proofErr w:type="spellStart"/>
            <w:r w:rsidRPr="00E958BB">
              <w:rPr>
                <w:rFonts w:ascii="Sylfaen" w:hAnsi="Sylfaen"/>
                <w:sz w:val="20"/>
              </w:rPr>
              <w:t>შესაბამისად</w:t>
            </w:r>
            <w:proofErr w:type="spellEnd"/>
            <w:r w:rsidRPr="00E958BB">
              <w:rPr>
                <w:rFonts w:ascii="Sylfaen" w:hAnsi="Sylfaen"/>
                <w:sz w:val="20"/>
              </w:rPr>
              <w:t xml:space="preserve">, </w:t>
            </w:r>
            <w:proofErr w:type="spellStart"/>
            <w:r w:rsidRPr="00E958BB">
              <w:rPr>
                <w:rFonts w:ascii="Sylfaen" w:hAnsi="Sylfaen"/>
                <w:sz w:val="20"/>
              </w:rPr>
              <w:t>ხოლო</w:t>
            </w:r>
            <w:proofErr w:type="spellEnd"/>
            <w:r w:rsidRPr="00E958BB">
              <w:rPr>
                <w:rFonts w:ascii="Sylfaen" w:hAnsi="Sylfaen"/>
                <w:sz w:val="20"/>
              </w:rPr>
              <w:t xml:space="preserve"> </w:t>
            </w:r>
            <w:proofErr w:type="spellStart"/>
            <w:r w:rsidRPr="00E958BB">
              <w:rPr>
                <w:rFonts w:ascii="Sylfaen" w:hAnsi="Sylfaen"/>
                <w:sz w:val="20"/>
              </w:rPr>
              <w:t>მეორე</w:t>
            </w:r>
            <w:proofErr w:type="spellEnd"/>
            <w:r w:rsidRPr="00E958BB">
              <w:rPr>
                <w:rFonts w:ascii="Sylfaen" w:hAnsi="Sylfaen"/>
                <w:sz w:val="20"/>
              </w:rPr>
              <w:t xml:space="preserve"> </w:t>
            </w:r>
            <w:proofErr w:type="spellStart"/>
            <w:r w:rsidRPr="00E958BB">
              <w:rPr>
                <w:rFonts w:ascii="Sylfaen" w:hAnsi="Sylfaen"/>
                <w:sz w:val="20"/>
              </w:rPr>
              <w:t>მხრივ</w:t>
            </w:r>
            <w:proofErr w:type="spellEnd"/>
            <w:r w:rsidRPr="00E958BB">
              <w:rPr>
                <w:rFonts w:ascii="Sylfaen" w:hAnsi="Sylfaen"/>
                <w:sz w:val="20"/>
              </w:rPr>
              <w:t xml:space="preserve">, </w:t>
            </w:r>
            <w:proofErr w:type="spellStart"/>
            <w:r w:rsidRPr="00E958BB">
              <w:rPr>
                <w:rFonts w:ascii="Sylfaen" w:hAnsi="Sylfaen"/>
                <w:sz w:val="20"/>
              </w:rPr>
              <w:t>ხელს</w:t>
            </w:r>
            <w:proofErr w:type="spellEnd"/>
            <w:r w:rsidRPr="00E958BB">
              <w:rPr>
                <w:rFonts w:ascii="Sylfaen" w:hAnsi="Sylfaen"/>
                <w:sz w:val="20"/>
              </w:rPr>
              <w:t xml:space="preserve"> </w:t>
            </w:r>
            <w:proofErr w:type="spellStart"/>
            <w:r w:rsidRPr="00E958BB">
              <w:rPr>
                <w:rFonts w:ascii="Sylfaen" w:hAnsi="Sylfaen"/>
                <w:sz w:val="20"/>
              </w:rPr>
              <w:t>შეუწყობს</w:t>
            </w:r>
            <w:proofErr w:type="spellEnd"/>
            <w:r w:rsidRPr="00E958BB">
              <w:rPr>
                <w:rFonts w:ascii="Sylfaen" w:hAnsi="Sylfaen"/>
                <w:sz w:val="20"/>
              </w:rPr>
              <w:t xml:space="preserve"> </w:t>
            </w:r>
            <w:proofErr w:type="spellStart"/>
            <w:r w:rsidRPr="00E958BB">
              <w:rPr>
                <w:rFonts w:ascii="Sylfaen" w:hAnsi="Sylfaen"/>
                <w:sz w:val="20"/>
              </w:rPr>
              <w:t>კაპიტალური</w:t>
            </w:r>
            <w:proofErr w:type="spellEnd"/>
            <w:r w:rsidRPr="00E958BB">
              <w:rPr>
                <w:rFonts w:ascii="Sylfaen" w:hAnsi="Sylfaen"/>
                <w:sz w:val="20"/>
              </w:rPr>
              <w:t xml:space="preserve"> </w:t>
            </w:r>
            <w:proofErr w:type="spellStart"/>
            <w:r w:rsidRPr="00E958BB">
              <w:rPr>
                <w:rFonts w:ascii="Sylfaen" w:hAnsi="Sylfaen"/>
                <w:sz w:val="20"/>
              </w:rPr>
              <w:t>პროექტების</w:t>
            </w:r>
            <w:proofErr w:type="spellEnd"/>
            <w:r w:rsidRPr="00E958BB">
              <w:rPr>
                <w:rFonts w:ascii="Sylfaen" w:hAnsi="Sylfaen"/>
                <w:sz w:val="20"/>
              </w:rPr>
              <w:t xml:space="preserve"> </w:t>
            </w:r>
            <w:proofErr w:type="spellStart"/>
            <w:r w:rsidRPr="00E958BB">
              <w:rPr>
                <w:rFonts w:ascii="Sylfaen" w:hAnsi="Sylfaen"/>
                <w:sz w:val="20"/>
              </w:rPr>
              <w:t>დანართში</w:t>
            </w:r>
            <w:proofErr w:type="spellEnd"/>
            <w:r w:rsidRPr="00E958BB">
              <w:rPr>
                <w:rFonts w:ascii="Sylfaen" w:hAnsi="Sylfaen"/>
                <w:sz w:val="20"/>
              </w:rPr>
              <w:t xml:space="preserve"> </w:t>
            </w:r>
            <w:proofErr w:type="spellStart"/>
            <w:r w:rsidRPr="00E958BB">
              <w:rPr>
                <w:rFonts w:ascii="Sylfaen" w:hAnsi="Sylfaen"/>
                <w:sz w:val="20"/>
              </w:rPr>
              <w:t>პროექტების</w:t>
            </w:r>
            <w:proofErr w:type="spellEnd"/>
            <w:r w:rsidRPr="00E958BB">
              <w:rPr>
                <w:rFonts w:ascii="Sylfaen" w:hAnsi="Sylfaen"/>
                <w:sz w:val="20"/>
              </w:rPr>
              <w:t xml:space="preserve"> </w:t>
            </w:r>
            <w:proofErr w:type="spellStart"/>
            <w:r w:rsidRPr="00E958BB">
              <w:rPr>
                <w:rFonts w:ascii="Sylfaen" w:hAnsi="Sylfaen"/>
                <w:sz w:val="20"/>
              </w:rPr>
              <w:t>შესახებ</w:t>
            </w:r>
            <w:proofErr w:type="spellEnd"/>
            <w:r w:rsidRPr="00E958BB">
              <w:rPr>
                <w:rFonts w:ascii="Sylfaen" w:hAnsi="Sylfaen"/>
                <w:sz w:val="20"/>
              </w:rPr>
              <w:t xml:space="preserve"> </w:t>
            </w:r>
            <w:proofErr w:type="spellStart"/>
            <w:r w:rsidRPr="00E958BB">
              <w:rPr>
                <w:rFonts w:ascii="Sylfaen" w:hAnsi="Sylfaen"/>
                <w:sz w:val="20"/>
              </w:rPr>
              <w:t>სრულყოფილი</w:t>
            </w:r>
            <w:proofErr w:type="spellEnd"/>
            <w:r w:rsidRPr="00E958BB">
              <w:rPr>
                <w:rFonts w:ascii="Sylfaen" w:hAnsi="Sylfaen"/>
                <w:sz w:val="20"/>
              </w:rPr>
              <w:t xml:space="preserve"> </w:t>
            </w:r>
            <w:proofErr w:type="spellStart"/>
            <w:r w:rsidRPr="00E958BB">
              <w:rPr>
                <w:rFonts w:ascii="Sylfaen" w:hAnsi="Sylfaen"/>
                <w:sz w:val="20"/>
              </w:rPr>
              <w:t>ინფორმაციის</w:t>
            </w:r>
            <w:proofErr w:type="spellEnd"/>
            <w:r w:rsidRPr="00E958BB">
              <w:rPr>
                <w:rFonts w:ascii="Sylfaen" w:hAnsi="Sylfaen"/>
                <w:sz w:val="20"/>
              </w:rPr>
              <w:t xml:space="preserve"> </w:t>
            </w:r>
            <w:proofErr w:type="spellStart"/>
            <w:r w:rsidRPr="00E958BB">
              <w:rPr>
                <w:rFonts w:ascii="Sylfaen" w:hAnsi="Sylfaen"/>
                <w:sz w:val="20"/>
              </w:rPr>
              <w:t>წარმოდგენას</w:t>
            </w:r>
            <w:proofErr w:type="spellEnd"/>
            <w:r w:rsidRPr="00E958BB">
              <w:rPr>
                <w:rFonts w:ascii="Sylfaen" w:hAnsi="Sylfaen"/>
                <w:sz w:val="20"/>
              </w:rPr>
              <w:t>;</w:t>
            </w:r>
          </w:p>
        </w:tc>
        <w:tc>
          <w:tcPr>
            <w:tcW w:w="1701" w:type="dxa"/>
          </w:tcPr>
          <w:p w:rsidR="00E958BB" w:rsidRPr="00E958BB" w:rsidRDefault="00E958BB" w:rsidP="00EB5DD6">
            <w:pPr>
              <w:jc w:val="center"/>
              <w:rPr>
                <w:rFonts w:ascii="Sylfaen" w:hAnsi="Sylfaen"/>
                <w:sz w:val="20"/>
                <w:lang w:val="ka-GE"/>
              </w:rPr>
            </w:pPr>
            <w:r w:rsidRPr="00E958BB">
              <w:rPr>
                <w:rFonts w:ascii="Sylfaen" w:hAnsi="Sylfaen"/>
                <w:sz w:val="20"/>
                <w:lang w:val="ka-GE"/>
              </w:rPr>
              <w:t>2022-2023 წწ.</w:t>
            </w:r>
          </w:p>
        </w:tc>
        <w:tc>
          <w:tcPr>
            <w:tcW w:w="1559" w:type="dxa"/>
          </w:tcPr>
          <w:p w:rsidR="00E958BB" w:rsidRPr="00E958BB" w:rsidRDefault="00E958BB" w:rsidP="00EB5DD6">
            <w:pPr>
              <w:jc w:val="center"/>
              <w:rPr>
                <w:rFonts w:ascii="Sylfaen" w:hAnsi="Sylfaen"/>
                <w:sz w:val="20"/>
                <w:lang w:val="ka-GE"/>
              </w:rPr>
            </w:pPr>
            <w:r w:rsidRPr="00E958BB">
              <w:rPr>
                <w:rFonts w:ascii="Sylfaen" w:hAnsi="Sylfaen"/>
                <w:sz w:val="20"/>
                <w:lang w:val="ka-GE"/>
              </w:rPr>
              <w:t>საქართველოს ფინანსთა სამინისტრო</w:t>
            </w:r>
          </w:p>
        </w:tc>
        <w:tc>
          <w:tcPr>
            <w:tcW w:w="2551" w:type="dxa"/>
          </w:tcPr>
          <w:p w:rsidR="00E958BB" w:rsidRPr="00E958BB" w:rsidRDefault="00E958BB" w:rsidP="00EB5DD6">
            <w:pPr>
              <w:jc w:val="both"/>
              <w:rPr>
                <w:rFonts w:ascii="Sylfaen" w:hAnsi="Sylfaen"/>
                <w:sz w:val="20"/>
              </w:rPr>
            </w:pPr>
            <w:r w:rsidRPr="00E958BB">
              <w:rPr>
                <w:rFonts w:ascii="Sylfaen" w:hAnsi="Sylfaen"/>
                <w:sz w:val="20"/>
                <w:lang w:val="ka-GE"/>
              </w:rPr>
              <w:t>საინვესტიციო პროექტების მართვის განახლებული მეთოდოლოგია</w:t>
            </w:r>
          </w:p>
        </w:tc>
        <w:tc>
          <w:tcPr>
            <w:tcW w:w="5387" w:type="dxa"/>
            <w:vAlign w:val="center"/>
          </w:tcPr>
          <w:p w:rsidR="00E958BB" w:rsidRPr="00E958BB" w:rsidRDefault="00E958BB" w:rsidP="00EB5DD6">
            <w:pPr>
              <w:jc w:val="both"/>
              <w:rPr>
                <w:rFonts w:ascii="Sylfaen" w:hAnsi="Sylfaen"/>
                <w:sz w:val="20"/>
                <w:lang w:val="ka-GE"/>
              </w:rPr>
            </w:pPr>
            <w:proofErr w:type="spellStart"/>
            <w:proofErr w:type="gramStart"/>
            <w:r w:rsidRPr="00E958BB">
              <w:rPr>
                <w:rFonts w:ascii="Sylfaen" w:hAnsi="Sylfaen"/>
                <w:sz w:val="20"/>
              </w:rPr>
              <w:t>კაპიტალური</w:t>
            </w:r>
            <w:proofErr w:type="spellEnd"/>
            <w:proofErr w:type="gramEnd"/>
            <w:r w:rsidRPr="00E958BB">
              <w:rPr>
                <w:rFonts w:ascii="Sylfaen" w:hAnsi="Sylfaen"/>
                <w:sz w:val="20"/>
              </w:rPr>
              <w:t xml:space="preserve"> </w:t>
            </w:r>
            <w:proofErr w:type="spellStart"/>
            <w:r w:rsidRPr="00E958BB">
              <w:rPr>
                <w:rFonts w:ascii="Sylfaen" w:hAnsi="Sylfaen"/>
                <w:sz w:val="20"/>
              </w:rPr>
              <w:t>პროექტების</w:t>
            </w:r>
            <w:proofErr w:type="spellEnd"/>
            <w:r w:rsidRPr="00E958BB">
              <w:rPr>
                <w:rFonts w:ascii="Sylfaen" w:hAnsi="Sylfaen"/>
                <w:sz w:val="20"/>
              </w:rPr>
              <w:t xml:space="preserve"> </w:t>
            </w:r>
            <w:proofErr w:type="spellStart"/>
            <w:r w:rsidRPr="00E958BB">
              <w:rPr>
                <w:rFonts w:ascii="Sylfaen" w:hAnsi="Sylfaen"/>
                <w:sz w:val="20"/>
              </w:rPr>
              <w:t>დაგეგმვის</w:t>
            </w:r>
            <w:proofErr w:type="spellEnd"/>
            <w:r w:rsidRPr="00E958BB">
              <w:rPr>
                <w:rFonts w:ascii="Sylfaen" w:hAnsi="Sylfaen"/>
                <w:sz w:val="20"/>
              </w:rPr>
              <w:t xml:space="preserve"> </w:t>
            </w:r>
            <w:proofErr w:type="spellStart"/>
            <w:r w:rsidRPr="00E958BB">
              <w:rPr>
                <w:rFonts w:ascii="Sylfaen" w:hAnsi="Sylfaen"/>
                <w:sz w:val="20"/>
              </w:rPr>
              <w:t>და</w:t>
            </w:r>
            <w:proofErr w:type="spellEnd"/>
            <w:r w:rsidRPr="00E958BB">
              <w:rPr>
                <w:rFonts w:ascii="Sylfaen" w:hAnsi="Sylfaen"/>
                <w:sz w:val="20"/>
              </w:rPr>
              <w:t xml:space="preserve"> </w:t>
            </w:r>
            <w:proofErr w:type="spellStart"/>
            <w:r w:rsidRPr="00E958BB">
              <w:rPr>
                <w:rFonts w:ascii="Sylfaen" w:hAnsi="Sylfaen"/>
                <w:sz w:val="20"/>
              </w:rPr>
              <w:t>განხორციელების</w:t>
            </w:r>
            <w:proofErr w:type="spellEnd"/>
            <w:r w:rsidRPr="00E958BB">
              <w:rPr>
                <w:rFonts w:ascii="Sylfaen" w:hAnsi="Sylfaen"/>
                <w:sz w:val="20"/>
              </w:rPr>
              <w:t xml:space="preserve"> </w:t>
            </w:r>
            <w:proofErr w:type="spellStart"/>
            <w:r w:rsidRPr="00E958BB">
              <w:rPr>
                <w:rFonts w:ascii="Sylfaen" w:hAnsi="Sylfaen"/>
                <w:sz w:val="20"/>
              </w:rPr>
              <w:t>მიმართულებით</w:t>
            </w:r>
            <w:proofErr w:type="spellEnd"/>
            <w:r w:rsidRPr="00E958BB">
              <w:rPr>
                <w:rFonts w:ascii="Sylfaen" w:hAnsi="Sylfaen"/>
                <w:sz w:val="20"/>
              </w:rPr>
              <w:t xml:space="preserve"> </w:t>
            </w:r>
            <w:proofErr w:type="spellStart"/>
            <w:r w:rsidRPr="00E958BB">
              <w:rPr>
                <w:rFonts w:ascii="Sylfaen" w:hAnsi="Sylfaen"/>
                <w:sz w:val="20"/>
              </w:rPr>
              <w:t>მიმდინარეობს</w:t>
            </w:r>
            <w:proofErr w:type="spellEnd"/>
            <w:r w:rsidRPr="00E958BB">
              <w:rPr>
                <w:rFonts w:ascii="Sylfaen" w:hAnsi="Sylfaen"/>
                <w:sz w:val="20"/>
              </w:rPr>
              <w:t xml:space="preserve"> </w:t>
            </w:r>
            <w:proofErr w:type="spellStart"/>
            <w:r w:rsidRPr="00E958BB">
              <w:rPr>
                <w:rFonts w:ascii="Sylfaen" w:hAnsi="Sylfaen"/>
                <w:sz w:val="20"/>
              </w:rPr>
              <w:t>საინვესტიციო</w:t>
            </w:r>
            <w:proofErr w:type="spellEnd"/>
            <w:r w:rsidRPr="00E958BB">
              <w:rPr>
                <w:rFonts w:ascii="Sylfaen" w:hAnsi="Sylfaen"/>
                <w:sz w:val="20"/>
              </w:rPr>
              <w:t xml:space="preserve"> </w:t>
            </w:r>
            <w:proofErr w:type="spellStart"/>
            <w:r w:rsidRPr="00E958BB">
              <w:rPr>
                <w:rFonts w:ascii="Sylfaen" w:hAnsi="Sylfaen"/>
                <w:sz w:val="20"/>
              </w:rPr>
              <w:t>პროექტების</w:t>
            </w:r>
            <w:proofErr w:type="spellEnd"/>
            <w:r w:rsidRPr="00E958BB">
              <w:rPr>
                <w:rFonts w:ascii="Sylfaen" w:hAnsi="Sylfaen"/>
                <w:sz w:val="20"/>
              </w:rPr>
              <w:t xml:space="preserve"> </w:t>
            </w:r>
            <w:proofErr w:type="spellStart"/>
            <w:r w:rsidRPr="00E958BB">
              <w:rPr>
                <w:rFonts w:ascii="Sylfaen" w:hAnsi="Sylfaen"/>
                <w:sz w:val="20"/>
              </w:rPr>
              <w:t>მართვის</w:t>
            </w:r>
            <w:proofErr w:type="spellEnd"/>
            <w:r w:rsidRPr="00E958BB">
              <w:rPr>
                <w:rFonts w:ascii="Sylfaen" w:hAnsi="Sylfaen"/>
                <w:sz w:val="20"/>
              </w:rPr>
              <w:t xml:space="preserve"> </w:t>
            </w:r>
            <w:proofErr w:type="spellStart"/>
            <w:r w:rsidRPr="00E958BB">
              <w:rPr>
                <w:rFonts w:ascii="Sylfaen" w:hAnsi="Sylfaen"/>
                <w:sz w:val="20"/>
              </w:rPr>
              <w:t>რეფორმა</w:t>
            </w:r>
            <w:proofErr w:type="spellEnd"/>
            <w:r w:rsidRPr="00E958BB">
              <w:rPr>
                <w:rFonts w:ascii="Sylfaen" w:hAnsi="Sylfaen"/>
                <w:sz w:val="20"/>
              </w:rPr>
              <w:t xml:space="preserve"> </w:t>
            </w:r>
            <w:proofErr w:type="spellStart"/>
            <w:r w:rsidRPr="00E958BB">
              <w:rPr>
                <w:rFonts w:ascii="Sylfaen" w:hAnsi="Sylfaen"/>
                <w:sz w:val="20"/>
              </w:rPr>
              <w:t>საჯარო</w:t>
            </w:r>
            <w:proofErr w:type="spellEnd"/>
            <w:r w:rsidRPr="00E958BB">
              <w:rPr>
                <w:rFonts w:ascii="Sylfaen" w:hAnsi="Sylfaen"/>
                <w:sz w:val="20"/>
              </w:rPr>
              <w:t xml:space="preserve"> </w:t>
            </w:r>
            <w:proofErr w:type="spellStart"/>
            <w:r w:rsidRPr="00E958BB">
              <w:rPr>
                <w:rFonts w:ascii="Sylfaen" w:hAnsi="Sylfaen"/>
                <w:sz w:val="20"/>
              </w:rPr>
              <w:t>ფინანსების</w:t>
            </w:r>
            <w:proofErr w:type="spellEnd"/>
            <w:r w:rsidRPr="00E958BB">
              <w:rPr>
                <w:rFonts w:ascii="Sylfaen" w:hAnsi="Sylfaen"/>
                <w:sz w:val="20"/>
              </w:rPr>
              <w:t xml:space="preserve"> </w:t>
            </w:r>
            <w:proofErr w:type="spellStart"/>
            <w:r w:rsidRPr="00E958BB">
              <w:rPr>
                <w:rFonts w:ascii="Sylfaen" w:hAnsi="Sylfaen"/>
                <w:sz w:val="20"/>
              </w:rPr>
              <w:t>მართვის</w:t>
            </w:r>
            <w:proofErr w:type="spellEnd"/>
            <w:r w:rsidRPr="00E958BB">
              <w:rPr>
                <w:rFonts w:ascii="Sylfaen" w:hAnsi="Sylfaen"/>
                <w:sz w:val="20"/>
              </w:rPr>
              <w:t xml:space="preserve"> </w:t>
            </w:r>
            <w:proofErr w:type="spellStart"/>
            <w:r w:rsidRPr="00E958BB">
              <w:rPr>
                <w:rFonts w:ascii="Sylfaen" w:hAnsi="Sylfaen"/>
                <w:sz w:val="20"/>
              </w:rPr>
              <w:t>რეფორმის</w:t>
            </w:r>
            <w:proofErr w:type="spellEnd"/>
            <w:r w:rsidRPr="00E958BB">
              <w:rPr>
                <w:rFonts w:ascii="Sylfaen" w:hAnsi="Sylfaen"/>
                <w:sz w:val="20"/>
              </w:rPr>
              <w:t xml:space="preserve"> </w:t>
            </w:r>
            <w:proofErr w:type="spellStart"/>
            <w:r w:rsidRPr="00E958BB">
              <w:rPr>
                <w:rFonts w:ascii="Sylfaen" w:hAnsi="Sylfaen"/>
                <w:sz w:val="20"/>
              </w:rPr>
              <w:t>სტრატეგიისა</w:t>
            </w:r>
            <w:proofErr w:type="spellEnd"/>
            <w:r w:rsidRPr="00E958BB">
              <w:rPr>
                <w:rFonts w:ascii="Sylfaen" w:hAnsi="Sylfaen"/>
                <w:sz w:val="20"/>
              </w:rPr>
              <w:t xml:space="preserve"> </w:t>
            </w:r>
            <w:proofErr w:type="spellStart"/>
            <w:r w:rsidRPr="00E958BB">
              <w:rPr>
                <w:rFonts w:ascii="Sylfaen" w:hAnsi="Sylfaen"/>
                <w:sz w:val="20"/>
              </w:rPr>
              <w:t>და</w:t>
            </w:r>
            <w:proofErr w:type="spellEnd"/>
            <w:r w:rsidRPr="00E958BB">
              <w:rPr>
                <w:rFonts w:ascii="Sylfaen" w:hAnsi="Sylfaen"/>
                <w:sz w:val="20"/>
              </w:rPr>
              <w:t xml:space="preserve"> </w:t>
            </w:r>
            <w:proofErr w:type="spellStart"/>
            <w:r w:rsidRPr="00E958BB">
              <w:rPr>
                <w:rFonts w:ascii="Sylfaen" w:hAnsi="Sylfaen"/>
                <w:sz w:val="20"/>
              </w:rPr>
              <w:t>სამოქმედო</w:t>
            </w:r>
            <w:proofErr w:type="spellEnd"/>
            <w:r w:rsidRPr="00E958BB">
              <w:rPr>
                <w:rFonts w:ascii="Sylfaen" w:hAnsi="Sylfaen"/>
                <w:sz w:val="20"/>
              </w:rPr>
              <w:t xml:space="preserve"> </w:t>
            </w:r>
            <w:proofErr w:type="spellStart"/>
            <w:r w:rsidRPr="00E958BB">
              <w:rPr>
                <w:rFonts w:ascii="Sylfaen" w:hAnsi="Sylfaen"/>
                <w:sz w:val="20"/>
              </w:rPr>
              <w:t>გეგმის</w:t>
            </w:r>
            <w:proofErr w:type="spellEnd"/>
            <w:r w:rsidRPr="00E958BB">
              <w:rPr>
                <w:rFonts w:ascii="Sylfaen" w:hAnsi="Sylfaen"/>
                <w:sz w:val="20"/>
              </w:rPr>
              <w:t xml:space="preserve"> </w:t>
            </w:r>
            <w:proofErr w:type="spellStart"/>
            <w:r w:rsidRPr="00E958BB">
              <w:rPr>
                <w:rFonts w:ascii="Sylfaen" w:hAnsi="Sylfaen"/>
                <w:sz w:val="20"/>
              </w:rPr>
              <w:t>ფარგლებში</w:t>
            </w:r>
            <w:proofErr w:type="spellEnd"/>
            <w:r w:rsidRPr="00E958BB">
              <w:rPr>
                <w:rFonts w:ascii="Sylfaen" w:hAnsi="Sylfaen"/>
                <w:sz w:val="20"/>
              </w:rPr>
              <w:t xml:space="preserve">, </w:t>
            </w:r>
            <w:proofErr w:type="spellStart"/>
            <w:r w:rsidRPr="00E958BB">
              <w:rPr>
                <w:rFonts w:ascii="Sylfaen" w:hAnsi="Sylfaen"/>
                <w:sz w:val="20"/>
              </w:rPr>
              <w:t>ასევე</w:t>
            </w:r>
            <w:proofErr w:type="spellEnd"/>
            <w:r w:rsidRPr="00E958BB">
              <w:rPr>
                <w:rFonts w:ascii="Sylfaen" w:hAnsi="Sylfaen"/>
                <w:sz w:val="20"/>
              </w:rPr>
              <w:t xml:space="preserve"> </w:t>
            </w:r>
            <w:proofErr w:type="spellStart"/>
            <w:r w:rsidRPr="00E958BB">
              <w:rPr>
                <w:rFonts w:ascii="Sylfaen" w:hAnsi="Sylfaen"/>
                <w:sz w:val="20"/>
              </w:rPr>
              <w:t>დონორებთან</w:t>
            </w:r>
            <w:proofErr w:type="spellEnd"/>
            <w:r w:rsidRPr="00E958BB">
              <w:rPr>
                <w:rFonts w:ascii="Sylfaen" w:hAnsi="Sylfaen"/>
                <w:sz w:val="20"/>
              </w:rPr>
              <w:t xml:space="preserve"> </w:t>
            </w:r>
            <w:proofErr w:type="spellStart"/>
            <w:r w:rsidRPr="00E958BB">
              <w:rPr>
                <w:rFonts w:ascii="Sylfaen" w:hAnsi="Sylfaen"/>
                <w:sz w:val="20"/>
              </w:rPr>
              <w:t>თანამშრომლობით</w:t>
            </w:r>
            <w:proofErr w:type="spellEnd"/>
            <w:r w:rsidRPr="00E958BB">
              <w:rPr>
                <w:rFonts w:ascii="Sylfaen" w:hAnsi="Sylfaen"/>
                <w:sz w:val="20"/>
              </w:rPr>
              <w:t xml:space="preserve"> </w:t>
            </w:r>
            <w:proofErr w:type="spellStart"/>
            <w:r w:rsidRPr="00E958BB">
              <w:rPr>
                <w:rFonts w:ascii="Sylfaen" w:hAnsi="Sylfaen"/>
                <w:sz w:val="20"/>
              </w:rPr>
              <w:t>ხორციელდება</w:t>
            </w:r>
            <w:proofErr w:type="spellEnd"/>
            <w:r w:rsidRPr="00E958BB">
              <w:rPr>
                <w:rFonts w:ascii="Sylfaen" w:hAnsi="Sylfaen"/>
                <w:sz w:val="20"/>
              </w:rPr>
              <w:t xml:space="preserve"> </w:t>
            </w:r>
            <w:proofErr w:type="spellStart"/>
            <w:r w:rsidRPr="00E958BB">
              <w:rPr>
                <w:rFonts w:ascii="Sylfaen" w:hAnsi="Sylfaen"/>
                <w:sz w:val="20"/>
              </w:rPr>
              <w:t>ამ</w:t>
            </w:r>
            <w:proofErr w:type="spellEnd"/>
            <w:r w:rsidRPr="00E958BB">
              <w:rPr>
                <w:rFonts w:ascii="Sylfaen" w:hAnsi="Sylfaen"/>
                <w:sz w:val="20"/>
              </w:rPr>
              <w:t xml:space="preserve"> </w:t>
            </w:r>
            <w:proofErr w:type="spellStart"/>
            <w:r w:rsidRPr="00E958BB">
              <w:rPr>
                <w:rFonts w:ascii="Sylfaen" w:hAnsi="Sylfaen"/>
                <w:sz w:val="20"/>
              </w:rPr>
              <w:t>მიმართულებით</w:t>
            </w:r>
            <w:proofErr w:type="spellEnd"/>
            <w:r w:rsidRPr="00E958BB">
              <w:rPr>
                <w:rFonts w:ascii="Sylfaen" w:hAnsi="Sylfaen"/>
                <w:sz w:val="20"/>
              </w:rPr>
              <w:t xml:space="preserve"> </w:t>
            </w:r>
            <w:proofErr w:type="spellStart"/>
            <w:r w:rsidRPr="00E958BB">
              <w:rPr>
                <w:rFonts w:ascii="Sylfaen" w:hAnsi="Sylfaen"/>
                <w:sz w:val="20"/>
              </w:rPr>
              <w:t>არაერთი</w:t>
            </w:r>
            <w:proofErr w:type="spellEnd"/>
            <w:r w:rsidRPr="00E958BB">
              <w:rPr>
                <w:rFonts w:ascii="Sylfaen" w:hAnsi="Sylfaen"/>
                <w:sz w:val="20"/>
              </w:rPr>
              <w:t xml:space="preserve"> </w:t>
            </w:r>
            <w:proofErr w:type="spellStart"/>
            <w:r w:rsidRPr="00E958BB">
              <w:rPr>
                <w:rFonts w:ascii="Sylfaen" w:hAnsi="Sylfaen"/>
                <w:sz w:val="20"/>
              </w:rPr>
              <w:t>ღონისძიება</w:t>
            </w:r>
            <w:proofErr w:type="spellEnd"/>
            <w:r w:rsidRPr="00E958BB">
              <w:rPr>
                <w:rFonts w:ascii="Sylfaen" w:hAnsi="Sylfaen"/>
                <w:sz w:val="20"/>
              </w:rPr>
              <w:t xml:space="preserve"> </w:t>
            </w:r>
            <w:proofErr w:type="spellStart"/>
            <w:r w:rsidRPr="00E958BB">
              <w:rPr>
                <w:rFonts w:ascii="Sylfaen" w:hAnsi="Sylfaen"/>
                <w:sz w:val="20"/>
              </w:rPr>
              <w:t>საინვესტიციო-კაპიტალური</w:t>
            </w:r>
            <w:proofErr w:type="spellEnd"/>
            <w:r w:rsidRPr="00E958BB">
              <w:rPr>
                <w:rFonts w:ascii="Sylfaen" w:hAnsi="Sylfaen"/>
                <w:sz w:val="20"/>
              </w:rPr>
              <w:t xml:space="preserve"> </w:t>
            </w:r>
            <w:proofErr w:type="spellStart"/>
            <w:r w:rsidRPr="00E958BB">
              <w:rPr>
                <w:rFonts w:ascii="Sylfaen" w:hAnsi="Sylfaen"/>
                <w:sz w:val="20"/>
              </w:rPr>
              <w:t>პროექტების</w:t>
            </w:r>
            <w:proofErr w:type="spellEnd"/>
            <w:r w:rsidRPr="00E958BB">
              <w:rPr>
                <w:rFonts w:ascii="Sylfaen" w:hAnsi="Sylfaen"/>
                <w:sz w:val="20"/>
              </w:rPr>
              <w:t xml:space="preserve"> </w:t>
            </w:r>
            <w:proofErr w:type="spellStart"/>
            <w:r w:rsidRPr="00E958BB">
              <w:rPr>
                <w:rFonts w:ascii="Sylfaen" w:hAnsi="Sylfaen"/>
                <w:sz w:val="20"/>
              </w:rPr>
              <w:t>მართვის</w:t>
            </w:r>
            <w:proofErr w:type="spellEnd"/>
            <w:r w:rsidRPr="00E958BB">
              <w:rPr>
                <w:rFonts w:ascii="Sylfaen" w:hAnsi="Sylfaen"/>
                <w:sz w:val="20"/>
              </w:rPr>
              <w:t xml:space="preserve"> </w:t>
            </w:r>
            <w:proofErr w:type="spellStart"/>
            <w:r w:rsidRPr="00E958BB">
              <w:rPr>
                <w:rFonts w:ascii="Sylfaen" w:hAnsi="Sylfaen"/>
                <w:sz w:val="20"/>
              </w:rPr>
              <w:t>სრულყოფილი</w:t>
            </w:r>
            <w:proofErr w:type="spellEnd"/>
            <w:r w:rsidRPr="00E958BB">
              <w:rPr>
                <w:rFonts w:ascii="Sylfaen" w:hAnsi="Sylfaen"/>
                <w:sz w:val="20"/>
              </w:rPr>
              <w:t xml:space="preserve"> </w:t>
            </w:r>
            <w:proofErr w:type="spellStart"/>
            <w:r w:rsidRPr="00E958BB">
              <w:rPr>
                <w:rFonts w:ascii="Sylfaen" w:hAnsi="Sylfaen"/>
                <w:sz w:val="20"/>
              </w:rPr>
              <w:t>დანერგვის</w:t>
            </w:r>
            <w:proofErr w:type="spellEnd"/>
            <w:r w:rsidRPr="00E958BB">
              <w:rPr>
                <w:rFonts w:ascii="Sylfaen" w:hAnsi="Sylfaen"/>
                <w:sz w:val="20"/>
              </w:rPr>
              <w:t xml:space="preserve"> </w:t>
            </w:r>
            <w:proofErr w:type="spellStart"/>
            <w:r w:rsidRPr="00E958BB">
              <w:rPr>
                <w:rFonts w:ascii="Sylfaen" w:hAnsi="Sylfaen"/>
                <w:sz w:val="20"/>
              </w:rPr>
              <w:t>მიზნით</w:t>
            </w:r>
            <w:proofErr w:type="spellEnd"/>
            <w:r w:rsidRPr="00E958BB">
              <w:rPr>
                <w:rFonts w:ascii="Sylfaen" w:hAnsi="Sylfaen"/>
                <w:sz w:val="20"/>
              </w:rPr>
              <w:t>.</w:t>
            </w:r>
            <w:r w:rsidRPr="00E958BB">
              <w:rPr>
                <w:rFonts w:ascii="Sylfaen" w:hAnsi="Sylfaen"/>
                <w:sz w:val="20"/>
                <w:lang w:val="ka-GE"/>
              </w:rPr>
              <w:t xml:space="preserve"> კაპიტალური პროექტების მართვის ძირითადი მარეგულირებელი უნდა გახდეს საინვესტიციო პროექტების მართვის გზამკვლევი და მეთოდოლოგია.</w:t>
            </w:r>
          </w:p>
          <w:p w:rsidR="00E958BB" w:rsidRPr="00E958BB" w:rsidRDefault="00E958BB" w:rsidP="00EB5DD6">
            <w:pPr>
              <w:jc w:val="both"/>
              <w:rPr>
                <w:rFonts w:ascii="Sylfaen" w:hAnsi="Sylfaen"/>
                <w:sz w:val="20"/>
                <w:lang w:val="ka-GE"/>
              </w:rPr>
            </w:pPr>
            <w:r w:rsidRPr="00E958BB">
              <w:rPr>
                <w:rFonts w:ascii="Sylfaen" w:hAnsi="Sylfaen"/>
                <w:sz w:val="20"/>
                <w:lang w:val="ka-GE"/>
              </w:rPr>
              <w:t>ამასთან, დაგეგმილია საერთაშორისო სავალუტო ფონდთან თანამშრომლობით საინვესტიციო პროექტების მართვის შეფასების ხელახლა განხორციელება ამ მიმართულებით რეფორმების შემდგომი დაგეგმვის მიზნით.</w:t>
            </w:r>
          </w:p>
        </w:tc>
      </w:tr>
      <w:tr w:rsidR="00E958BB" w:rsidRPr="00E958BB" w:rsidTr="00E958BB">
        <w:trPr>
          <w:trHeight w:val="113"/>
        </w:trPr>
        <w:tc>
          <w:tcPr>
            <w:tcW w:w="3234" w:type="dxa"/>
          </w:tcPr>
          <w:p w:rsidR="00E958BB" w:rsidRPr="00E958BB" w:rsidRDefault="00E958BB" w:rsidP="00EB5DD6">
            <w:pPr>
              <w:jc w:val="both"/>
              <w:rPr>
                <w:rFonts w:ascii="Sylfaen" w:hAnsi="Sylfaen" w:cs="Sylfaen"/>
                <w:sz w:val="20"/>
              </w:rPr>
            </w:pPr>
            <w:proofErr w:type="spellStart"/>
            <w:proofErr w:type="gramStart"/>
            <w:r w:rsidRPr="00E958BB">
              <w:rPr>
                <w:rFonts w:ascii="Sylfaen" w:hAnsi="Sylfaen"/>
                <w:sz w:val="20"/>
              </w:rPr>
              <w:t>მნიშვნელოვანია</w:t>
            </w:r>
            <w:proofErr w:type="spellEnd"/>
            <w:proofErr w:type="gramEnd"/>
            <w:r w:rsidRPr="00E958BB">
              <w:rPr>
                <w:rFonts w:ascii="Sylfaen" w:hAnsi="Sylfaen"/>
                <w:sz w:val="20"/>
              </w:rPr>
              <w:t xml:space="preserve">, </w:t>
            </w:r>
            <w:proofErr w:type="spellStart"/>
            <w:r w:rsidRPr="00E958BB">
              <w:rPr>
                <w:rFonts w:ascii="Sylfaen" w:hAnsi="Sylfaen"/>
                <w:sz w:val="20"/>
              </w:rPr>
              <w:t>სახელმწიფო</w:t>
            </w:r>
            <w:proofErr w:type="spellEnd"/>
            <w:r w:rsidRPr="00E958BB">
              <w:rPr>
                <w:rFonts w:ascii="Sylfaen" w:hAnsi="Sylfaen"/>
                <w:sz w:val="20"/>
              </w:rPr>
              <w:t xml:space="preserve"> </w:t>
            </w:r>
            <w:proofErr w:type="spellStart"/>
            <w:r w:rsidRPr="00E958BB">
              <w:rPr>
                <w:rFonts w:ascii="Sylfaen" w:hAnsi="Sylfaen"/>
                <w:sz w:val="20"/>
              </w:rPr>
              <w:t>ბიუჯეტის</w:t>
            </w:r>
            <w:proofErr w:type="spellEnd"/>
            <w:r w:rsidRPr="00E958BB">
              <w:rPr>
                <w:rFonts w:ascii="Sylfaen" w:hAnsi="Sylfaen"/>
                <w:sz w:val="20"/>
              </w:rPr>
              <w:t xml:space="preserve"> </w:t>
            </w:r>
            <w:proofErr w:type="spellStart"/>
            <w:r w:rsidRPr="00E958BB">
              <w:rPr>
                <w:rFonts w:ascii="Sylfaen" w:hAnsi="Sylfaen"/>
                <w:sz w:val="20"/>
              </w:rPr>
              <w:t>კანონში</w:t>
            </w:r>
            <w:proofErr w:type="spellEnd"/>
            <w:r w:rsidRPr="00E958BB">
              <w:rPr>
                <w:rFonts w:ascii="Sylfaen" w:hAnsi="Sylfaen"/>
                <w:sz w:val="20"/>
              </w:rPr>
              <w:t xml:space="preserve"> </w:t>
            </w:r>
            <w:proofErr w:type="spellStart"/>
            <w:r w:rsidRPr="00E958BB">
              <w:rPr>
                <w:rFonts w:ascii="Sylfaen" w:hAnsi="Sylfaen"/>
                <w:sz w:val="20"/>
              </w:rPr>
              <w:t>ცვლილების</w:t>
            </w:r>
            <w:proofErr w:type="spellEnd"/>
            <w:r w:rsidRPr="00E958BB">
              <w:rPr>
                <w:rFonts w:ascii="Sylfaen" w:hAnsi="Sylfaen"/>
                <w:sz w:val="20"/>
              </w:rPr>
              <w:t xml:space="preserve"> </w:t>
            </w:r>
            <w:proofErr w:type="spellStart"/>
            <w:r w:rsidRPr="00E958BB">
              <w:rPr>
                <w:rFonts w:ascii="Sylfaen" w:hAnsi="Sylfaen"/>
                <w:sz w:val="20"/>
              </w:rPr>
              <w:t>განხორციელების</w:t>
            </w:r>
            <w:proofErr w:type="spellEnd"/>
            <w:r w:rsidRPr="00E958BB">
              <w:rPr>
                <w:rFonts w:ascii="Sylfaen" w:hAnsi="Sylfaen"/>
                <w:sz w:val="20"/>
              </w:rPr>
              <w:t xml:space="preserve"> </w:t>
            </w:r>
            <w:proofErr w:type="spellStart"/>
            <w:r w:rsidRPr="00E958BB">
              <w:rPr>
                <w:rFonts w:ascii="Sylfaen" w:hAnsi="Sylfaen"/>
                <w:sz w:val="20"/>
              </w:rPr>
              <w:t>შემთხვევაში</w:t>
            </w:r>
            <w:proofErr w:type="spellEnd"/>
            <w:r w:rsidRPr="00E958BB">
              <w:rPr>
                <w:rFonts w:ascii="Sylfaen" w:hAnsi="Sylfaen"/>
                <w:sz w:val="20"/>
              </w:rPr>
              <w:t xml:space="preserve">, </w:t>
            </w:r>
            <w:proofErr w:type="spellStart"/>
            <w:r w:rsidRPr="00E958BB">
              <w:rPr>
                <w:rFonts w:ascii="Sylfaen" w:hAnsi="Sylfaen"/>
                <w:sz w:val="20"/>
              </w:rPr>
              <w:t>მოხდეს</w:t>
            </w:r>
            <w:proofErr w:type="spellEnd"/>
            <w:r w:rsidRPr="00E958BB">
              <w:rPr>
                <w:rFonts w:ascii="Sylfaen" w:hAnsi="Sylfaen"/>
                <w:sz w:val="20"/>
              </w:rPr>
              <w:t xml:space="preserve"> </w:t>
            </w:r>
            <w:proofErr w:type="spellStart"/>
            <w:r w:rsidRPr="00E958BB">
              <w:rPr>
                <w:rFonts w:ascii="Sylfaen" w:hAnsi="Sylfaen"/>
                <w:sz w:val="20"/>
              </w:rPr>
              <w:t>კაპიტალური</w:t>
            </w:r>
            <w:proofErr w:type="spellEnd"/>
            <w:r w:rsidRPr="00E958BB">
              <w:rPr>
                <w:rFonts w:ascii="Sylfaen" w:hAnsi="Sylfaen"/>
                <w:sz w:val="20"/>
              </w:rPr>
              <w:t xml:space="preserve"> </w:t>
            </w:r>
            <w:proofErr w:type="spellStart"/>
            <w:r w:rsidRPr="00E958BB">
              <w:rPr>
                <w:rFonts w:ascii="Sylfaen" w:hAnsi="Sylfaen"/>
                <w:sz w:val="20"/>
              </w:rPr>
              <w:t>პროექტების</w:t>
            </w:r>
            <w:proofErr w:type="spellEnd"/>
            <w:r w:rsidRPr="00E958BB">
              <w:rPr>
                <w:rFonts w:ascii="Sylfaen" w:hAnsi="Sylfaen"/>
                <w:sz w:val="20"/>
              </w:rPr>
              <w:t xml:space="preserve"> </w:t>
            </w:r>
            <w:proofErr w:type="spellStart"/>
            <w:r w:rsidRPr="00E958BB">
              <w:rPr>
                <w:rFonts w:ascii="Sylfaen" w:hAnsi="Sylfaen"/>
                <w:sz w:val="20"/>
              </w:rPr>
              <w:t>დანართის</w:t>
            </w:r>
            <w:proofErr w:type="spellEnd"/>
            <w:r w:rsidRPr="00E958BB">
              <w:rPr>
                <w:rFonts w:ascii="Sylfaen" w:hAnsi="Sylfaen"/>
                <w:sz w:val="20"/>
              </w:rPr>
              <w:t xml:space="preserve"> </w:t>
            </w:r>
            <w:proofErr w:type="spellStart"/>
            <w:r w:rsidRPr="00E958BB">
              <w:rPr>
                <w:rFonts w:ascii="Sylfaen" w:hAnsi="Sylfaen"/>
                <w:sz w:val="20"/>
              </w:rPr>
              <w:t>განახლება</w:t>
            </w:r>
            <w:proofErr w:type="spellEnd"/>
            <w:r w:rsidRPr="00E958BB">
              <w:rPr>
                <w:rFonts w:ascii="Sylfaen" w:hAnsi="Sylfaen"/>
                <w:sz w:val="20"/>
              </w:rPr>
              <w:t xml:space="preserve"> </w:t>
            </w:r>
            <w:proofErr w:type="spellStart"/>
            <w:r w:rsidRPr="00E958BB">
              <w:rPr>
                <w:rFonts w:ascii="Sylfaen" w:hAnsi="Sylfaen"/>
                <w:sz w:val="20"/>
              </w:rPr>
              <w:t>აღნიშნული</w:t>
            </w:r>
            <w:proofErr w:type="spellEnd"/>
            <w:r w:rsidRPr="00E958BB">
              <w:rPr>
                <w:rFonts w:ascii="Sylfaen" w:hAnsi="Sylfaen"/>
                <w:sz w:val="20"/>
              </w:rPr>
              <w:t xml:space="preserve"> </w:t>
            </w:r>
            <w:proofErr w:type="spellStart"/>
            <w:r w:rsidRPr="00E958BB">
              <w:rPr>
                <w:rFonts w:ascii="Sylfaen" w:hAnsi="Sylfaen"/>
                <w:sz w:val="20"/>
              </w:rPr>
              <w:t>ცვლილებების</w:t>
            </w:r>
            <w:proofErr w:type="spellEnd"/>
            <w:r w:rsidRPr="00E958BB">
              <w:rPr>
                <w:rFonts w:ascii="Sylfaen" w:hAnsi="Sylfaen"/>
                <w:sz w:val="20"/>
              </w:rPr>
              <w:t xml:space="preserve"> </w:t>
            </w:r>
            <w:r w:rsidRPr="00E958BB">
              <w:rPr>
                <w:rFonts w:ascii="Sylfaen" w:hAnsi="Sylfaen"/>
                <w:sz w:val="20"/>
                <w:lang w:val="ka-GE"/>
              </w:rPr>
              <w:t>გ</w:t>
            </w:r>
            <w:proofErr w:type="spellStart"/>
            <w:r w:rsidRPr="00E958BB">
              <w:rPr>
                <w:rFonts w:ascii="Sylfaen" w:hAnsi="Sylfaen"/>
                <w:sz w:val="20"/>
              </w:rPr>
              <w:t>ათვალისწინებით</w:t>
            </w:r>
            <w:proofErr w:type="spellEnd"/>
            <w:r w:rsidRPr="00E958BB">
              <w:rPr>
                <w:rFonts w:ascii="Sylfaen" w:hAnsi="Sylfaen"/>
                <w:sz w:val="20"/>
              </w:rPr>
              <w:t>.</w:t>
            </w:r>
          </w:p>
        </w:tc>
        <w:tc>
          <w:tcPr>
            <w:tcW w:w="1701" w:type="dxa"/>
          </w:tcPr>
          <w:p w:rsidR="00E958BB" w:rsidRPr="00E958BB" w:rsidRDefault="00E958BB" w:rsidP="00EB5DD6">
            <w:pPr>
              <w:jc w:val="center"/>
              <w:rPr>
                <w:rFonts w:ascii="Sylfaen" w:hAnsi="Sylfaen"/>
                <w:sz w:val="20"/>
                <w:lang w:val="ka-GE"/>
              </w:rPr>
            </w:pPr>
          </w:p>
        </w:tc>
        <w:tc>
          <w:tcPr>
            <w:tcW w:w="1559" w:type="dxa"/>
          </w:tcPr>
          <w:p w:rsidR="00E958BB" w:rsidRPr="00E958BB" w:rsidRDefault="00E958BB" w:rsidP="00EB5DD6">
            <w:pPr>
              <w:jc w:val="center"/>
              <w:rPr>
                <w:rFonts w:ascii="Sylfaen" w:hAnsi="Sylfaen"/>
                <w:sz w:val="20"/>
                <w:lang w:val="ka-GE"/>
              </w:rPr>
            </w:pPr>
            <w:r w:rsidRPr="00E958BB">
              <w:rPr>
                <w:rFonts w:ascii="Sylfaen" w:hAnsi="Sylfaen"/>
                <w:sz w:val="20"/>
                <w:lang w:val="ka-GE"/>
              </w:rPr>
              <w:t>საქართველოს ფინანსთა სამინისტრო</w:t>
            </w:r>
          </w:p>
          <w:p w:rsidR="00E958BB" w:rsidRPr="00E958BB" w:rsidRDefault="00E958BB" w:rsidP="00EB5DD6">
            <w:pPr>
              <w:jc w:val="center"/>
              <w:rPr>
                <w:rFonts w:ascii="Sylfaen" w:hAnsi="Sylfaen"/>
                <w:sz w:val="20"/>
                <w:lang w:val="ka-GE"/>
              </w:rPr>
            </w:pPr>
          </w:p>
          <w:p w:rsidR="00E958BB" w:rsidRPr="00E958BB" w:rsidRDefault="00E958BB" w:rsidP="00EB5DD6">
            <w:pPr>
              <w:jc w:val="center"/>
              <w:rPr>
                <w:rFonts w:ascii="Sylfaen" w:hAnsi="Sylfaen"/>
                <w:sz w:val="20"/>
              </w:rPr>
            </w:pPr>
            <w:r w:rsidRPr="00E958BB">
              <w:rPr>
                <w:rFonts w:ascii="Sylfaen" w:hAnsi="Sylfaen"/>
                <w:sz w:val="20"/>
                <w:lang w:val="ka-GE"/>
              </w:rPr>
              <w:t>მხარჯავი დაწესებულებები</w:t>
            </w:r>
          </w:p>
        </w:tc>
        <w:tc>
          <w:tcPr>
            <w:tcW w:w="2551" w:type="dxa"/>
          </w:tcPr>
          <w:p w:rsidR="00E958BB" w:rsidRPr="00E958BB" w:rsidRDefault="00E958BB" w:rsidP="00EB5DD6">
            <w:pPr>
              <w:jc w:val="both"/>
              <w:rPr>
                <w:rFonts w:ascii="Sylfaen" w:hAnsi="Sylfaen"/>
                <w:sz w:val="20"/>
              </w:rPr>
            </w:pPr>
          </w:p>
        </w:tc>
        <w:tc>
          <w:tcPr>
            <w:tcW w:w="5387" w:type="dxa"/>
            <w:vAlign w:val="center"/>
          </w:tcPr>
          <w:p w:rsidR="00E958BB" w:rsidRPr="00E958BB" w:rsidRDefault="00E958BB" w:rsidP="00EB5DD6">
            <w:pPr>
              <w:jc w:val="both"/>
              <w:rPr>
                <w:rFonts w:ascii="Sylfaen" w:hAnsi="Sylfaen"/>
                <w:sz w:val="20"/>
                <w:lang w:val="ka-GE"/>
              </w:rPr>
            </w:pPr>
            <w:proofErr w:type="spellStart"/>
            <w:proofErr w:type="gramStart"/>
            <w:r w:rsidRPr="00E958BB">
              <w:rPr>
                <w:rFonts w:ascii="Sylfaen" w:hAnsi="Sylfaen"/>
                <w:sz w:val="20"/>
              </w:rPr>
              <w:t>სახელმწიფო</w:t>
            </w:r>
            <w:proofErr w:type="spellEnd"/>
            <w:proofErr w:type="gramEnd"/>
            <w:r w:rsidRPr="00E958BB">
              <w:rPr>
                <w:rFonts w:ascii="Sylfaen" w:hAnsi="Sylfaen"/>
                <w:sz w:val="20"/>
              </w:rPr>
              <w:t xml:space="preserve"> </w:t>
            </w:r>
            <w:proofErr w:type="spellStart"/>
            <w:r w:rsidRPr="00E958BB">
              <w:rPr>
                <w:rFonts w:ascii="Sylfaen" w:hAnsi="Sylfaen"/>
                <w:sz w:val="20"/>
              </w:rPr>
              <w:t>ბიუჯეტის</w:t>
            </w:r>
            <w:proofErr w:type="spellEnd"/>
            <w:r w:rsidRPr="00E958BB">
              <w:rPr>
                <w:rFonts w:ascii="Sylfaen" w:hAnsi="Sylfaen"/>
                <w:sz w:val="20"/>
              </w:rPr>
              <w:t xml:space="preserve"> </w:t>
            </w:r>
            <w:proofErr w:type="spellStart"/>
            <w:r w:rsidRPr="00E958BB">
              <w:rPr>
                <w:rFonts w:ascii="Sylfaen" w:hAnsi="Sylfaen"/>
                <w:sz w:val="20"/>
              </w:rPr>
              <w:t>კანონში</w:t>
            </w:r>
            <w:proofErr w:type="spellEnd"/>
            <w:r w:rsidRPr="00E958BB">
              <w:rPr>
                <w:rFonts w:ascii="Sylfaen" w:hAnsi="Sylfaen"/>
                <w:sz w:val="20"/>
              </w:rPr>
              <w:t xml:space="preserve"> </w:t>
            </w:r>
            <w:proofErr w:type="spellStart"/>
            <w:r w:rsidRPr="00E958BB">
              <w:rPr>
                <w:rFonts w:ascii="Sylfaen" w:hAnsi="Sylfaen"/>
                <w:sz w:val="20"/>
              </w:rPr>
              <w:t>ცვლილების</w:t>
            </w:r>
            <w:proofErr w:type="spellEnd"/>
            <w:r w:rsidRPr="00E958BB">
              <w:rPr>
                <w:rFonts w:ascii="Sylfaen" w:hAnsi="Sylfaen"/>
                <w:sz w:val="20"/>
              </w:rPr>
              <w:t xml:space="preserve"> </w:t>
            </w:r>
            <w:r w:rsidRPr="00E958BB">
              <w:rPr>
                <w:rFonts w:ascii="Sylfaen" w:hAnsi="Sylfaen"/>
                <w:sz w:val="20"/>
                <w:lang w:val="ka-GE"/>
              </w:rPr>
              <w:t>პროექტს  თან ერთვის</w:t>
            </w:r>
            <w:r w:rsidRPr="00E958BB">
              <w:rPr>
                <w:rFonts w:ascii="Sylfaen" w:hAnsi="Sylfaen"/>
                <w:sz w:val="20"/>
              </w:rPr>
              <w:t xml:space="preserve"> </w:t>
            </w:r>
            <w:proofErr w:type="spellStart"/>
            <w:r w:rsidRPr="00E958BB">
              <w:rPr>
                <w:rFonts w:ascii="Sylfaen" w:hAnsi="Sylfaen"/>
                <w:sz w:val="20"/>
              </w:rPr>
              <w:t>განახლებული</w:t>
            </w:r>
            <w:proofErr w:type="spellEnd"/>
            <w:r w:rsidRPr="00E958BB">
              <w:rPr>
                <w:rFonts w:ascii="Sylfaen" w:hAnsi="Sylfaen"/>
                <w:sz w:val="20"/>
              </w:rPr>
              <w:t xml:space="preserve"> </w:t>
            </w:r>
            <w:r w:rsidRPr="00E958BB">
              <w:rPr>
                <w:rFonts w:ascii="Sylfaen" w:hAnsi="Sylfaen"/>
                <w:sz w:val="20"/>
                <w:lang w:val="ka-GE"/>
              </w:rPr>
              <w:t xml:space="preserve">პროგრამული ბიუჯეტის დანართი, ყველა იმ პროგრამის და </w:t>
            </w:r>
            <w:proofErr w:type="spellStart"/>
            <w:r w:rsidRPr="00E958BB">
              <w:rPr>
                <w:rFonts w:ascii="Sylfaen" w:hAnsi="Sylfaen"/>
                <w:sz w:val="20"/>
                <w:lang w:val="ka-GE"/>
              </w:rPr>
              <w:t>ქვეპროგრამის</w:t>
            </w:r>
            <w:proofErr w:type="spellEnd"/>
            <w:r w:rsidRPr="00E958BB">
              <w:rPr>
                <w:rFonts w:ascii="Sylfaen" w:hAnsi="Sylfaen"/>
                <w:sz w:val="20"/>
                <w:lang w:val="ka-GE"/>
              </w:rPr>
              <w:t xml:space="preserve"> შესახებ, რომელზეც გავლენას ახდენს კანონში ცვლილება, შესაბამისად აღნიშნული დანართი თავის მხრივ მოიცავს კაპიტალურ პროექტებსაც.</w:t>
            </w:r>
          </w:p>
        </w:tc>
      </w:tr>
      <w:tr w:rsidR="00E958BB" w:rsidRPr="00E958BB" w:rsidTr="00E958BB">
        <w:trPr>
          <w:trHeight w:val="113"/>
        </w:trPr>
        <w:tc>
          <w:tcPr>
            <w:tcW w:w="3234" w:type="dxa"/>
          </w:tcPr>
          <w:p w:rsidR="00E958BB" w:rsidRPr="00E958BB" w:rsidRDefault="00E958BB" w:rsidP="00EB5DD6">
            <w:pPr>
              <w:jc w:val="both"/>
              <w:rPr>
                <w:rFonts w:ascii="Sylfaen" w:hAnsi="Sylfaen"/>
                <w:sz w:val="20"/>
              </w:rPr>
            </w:pPr>
            <w:proofErr w:type="spellStart"/>
            <w:proofErr w:type="gramStart"/>
            <w:r w:rsidRPr="00E958BB">
              <w:rPr>
                <w:rFonts w:ascii="Sylfaen" w:hAnsi="Sylfaen"/>
                <w:sz w:val="20"/>
              </w:rPr>
              <w:t>მიზანშეწონილია</w:t>
            </w:r>
            <w:proofErr w:type="spellEnd"/>
            <w:proofErr w:type="gramEnd"/>
            <w:r w:rsidRPr="00E958BB">
              <w:rPr>
                <w:rFonts w:ascii="Sylfaen" w:hAnsi="Sylfaen"/>
                <w:sz w:val="20"/>
              </w:rPr>
              <w:t xml:space="preserve">, </w:t>
            </w:r>
            <w:proofErr w:type="spellStart"/>
            <w:r w:rsidRPr="00E958BB">
              <w:rPr>
                <w:rFonts w:ascii="Sylfaen" w:hAnsi="Sylfaen"/>
                <w:sz w:val="20"/>
              </w:rPr>
              <w:t>შეიმუშაოს</w:t>
            </w:r>
            <w:proofErr w:type="spellEnd"/>
            <w:r w:rsidRPr="00E958BB">
              <w:rPr>
                <w:rFonts w:ascii="Sylfaen" w:hAnsi="Sylfaen"/>
                <w:sz w:val="20"/>
              </w:rPr>
              <w:t xml:space="preserve"> </w:t>
            </w:r>
            <w:proofErr w:type="spellStart"/>
            <w:r w:rsidRPr="00E958BB">
              <w:rPr>
                <w:rFonts w:ascii="Sylfaen" w:hAnsi="Sylfaen"/>
                <w:sz w:val="20"/>
              </w:rPr>
              <w:t>მექანიზმი</w:t>
            </w:r>
            <w:proofErr w:type="spellEnd"/>
            <w:r w:rsidRPr="00E958BB">
              <w:rPr>
                <w:rFonts w:ascii="Sylfaen" w:hAnsi="Sylfaen"/>
                <w:sz w:val="20"/>
              </w:rPr>
              <w:t>/</w:t>
            </w:r>
            <w:proofErr w:type="spellStart"/>
            <w:r w:rsidRPr="00E958BB">
              <w:rPr>
                <w:rFonts w:ascii="Sylfaen" w:hAnsi="Sylfaen"/>
                <w:sz w:val="20"/>
              </w:rPr>
              <w:t>მიდგომა</w:t>
            </w:r>
            <w:proofErr w:type="spellEnd"/>
            <w:r w:rsidRPr="00E958BB">
              <w:rPr>
                <w:rFonts w:ascii="Sylfaen" w:hAnsi="Sylfaen"/>
                <w:sz w:val="20"/>
              </w:rPr>
              <w:t xml:space="preserve">, </w:t>
            </w:r>
            <w:proofErr w:type="spellStart"/>
            <w:r w:rsidRPr="00E958BB">
              <w:rPr>
                <w:rFonts w:ascii="Sylfaen" w:hAnsi="Sylfaen"/>
                <w:sz w:val="20"/>
              </w:rPr>
              <w:t>რომელიც</w:t>
            </w:r>
            <w:proofErr w:type="spellEnd"/>
            <w:r w:rsidRPr="00E958BB">
              <w:rPr>
                <w:rFonts w:ascii="Sylfaen" w:hAnsi="Sylfaen"/>
                <w:sz w:val="20"/>
              </w:rPr>
              <w:t xml:space="preserve"> </w:t>
            </w:r>
            <w:proofErr w:type="spellStart"/>
            <w:r w:rsidRPr="00E958BB">
              <w:rPr>
                <w:rFonts w:ascii="Sylfaen" w:hAnsi="Sylfaen"/>
                <w:sz w:val="20"/>
              </w:rPr>
              <w:t>უზრუნველყოფს</w:t>
            </w:r>
            <w:proofErr w:type="spellEnd"/>
            <w:r w:rsidRPr="00E958BB">
              <w:rPr>
                <w:rFonts w:ascii="Sylfaen" w:hAnsi="Sylfaen"/>
                <w:sz w:val="20"/>
              </w:rPr>
              <w:t xml:space="preserve"> </w:t>
            </w:r>
            <w:proofErr w:type="spellStart"/>
            <w:r w:rsidRPr="00E958BB">
              <w:rPr>
                <w:rFonts w:ascii="Sylfaen" w:hAnsi="Sylfaen"/>
                <w:sz w:val="20"/>
              </w:rPr>
              <w:t>ბიუჯეტის</w:t>
            </w:r>
            <w:proofErr w:type="spellEnd"/>
            <w:r w:rsidRPr="00E958BB">
              <w:rPr>
                <w:rFonts w:ascii="Sylfaen" w:hAnsi="Sylfaen"/>
                <w:sz w:val="20"/>
              </w:rPr>
              <w:t xml:space="preserve"> </w:t>
            </w:r>
            <w:proofErr w:type="spellStart"/>
            <w:r w:rsidRPr="00E958BB">
              <w:rPr>
                <w:rFonts w:ascii="Sylfaen" w:hAnsi="Sylfaen"/>
                <w:sz w:val="20"/>
              </w:rPr>
              <w:t>დაგეგმვის</w:t>
            </w:r>
            <w:proofErr w:type="spellEnd"/>
            <w:r w:rsidRPr="00E958BB">
              <w:rPr>
                <w:rFonts w:ascii="Sylfaen" w:hAnsi="Sylfaen"/>
                <w:sz w:val="20"/>
              </w:rPr>
              <w:t xml:space="preserve"> </w:t>
            </w:r>
            <w:proofErr w:type="spellStart"/>
            <w:r w:rsidRPr="00E958BB">
              <w:rPr>
                <w:rFonts w:ascii="Sylfaen" w:hAnsi="Sylfaen"/>
                <w:sz w:val="20"/>
              </w:rPr>
              <w:t>ეტაპზე</w:t>
            </w:r>
            <w:proofErr w:type="spellEnd"/>
            <w:r w:rsidRPr="00E958BB">
              <w:rPr>
                <w:rFonts w:ascii="Sylfaen" w:hAnsi="Sylfaen"/>
                <w:sz w:val="20"/>
              </w:rPr>
              <w:t xml:space="preserve"> </w:t>
            </w:r>
            <w:proofErr w:type="spellStart"/>
            <w:r w:rsidRPr="00E958BB">
              <w:rPr>
                <w:rFonts w:ascii="Sylfaen" w:hAnsi="Sylfaen"/>
                <w:sz w:val="20"/>
              </w:rPr>
              <w:t>სსიპ-ების</w:t>
            </w:r>
            <w:proofErr w:type="spellEnd"/>
            <w:r w:rsidRPr="00E958BB">
              <w:rPr>
                <w:rFonts w:ascii="Sylfaen" w:hAnsi="Sylfaen"/>
                <w:sz w:val="20"/>
              </w:rPr>
              <w:t>/ა(ა)</w:t>
            </w:r>
            <w:proofErr w:type="spellStart"/>
            <w:r w:rsidRPr="00E958BB">
              <w:rPr>
                <w:rFonts w:ascii="Sylfaen" w:hAnsi="Sylfaen"/>
                <w:sz w:val="20"/>
              </w:rPr>
              <w:t>იპ-ების</w:t>
            </w:r>
            <w:proofErr w:type="spellEnd"/>
            <w:r w:rsidRPr="00E958BB">
              <w:rPr>
                <w:rFonts w:ascii="Sylfaen" w:hAnsi="Sylfaen"/>
                <w:sz w:val="20"/>
              </w:rPr>
              <w:t xml:space="preserve"> </w:t>
            </w:r>
            <w:proofErr w:type="spellStart"/>
            <w:r w:rsidRPr="00E958BB">
              <w:rPr>
                <w:rFonts w:ascii="Sylfaen" w:hAnsi="Sylfaen"/>
                <w:sz w:val="20"/>
              </w:rPr>
              <w:t>საკუთარი</w:t>
            </w:r>
            <w:proofErr w:type="spellEnd"/>
            <w:r w:rsidRPr="00E958BB">
              <w:rPr>
                <w:rFonts w:ascii="Sylfaen" w:hAnsi="Sylfaen"/>
                <w:sz w:val="20"/>
              </w:rPr>
              <w:t xml:space="preserve"> </w:t>
            </w:r>
            <w:proofErr w:type="spellStart"/>
            <w:r w:rsidRPr="00E958BB">
              <w:rPr>
                <w:rFonts w:ascii="Sylfaen" w:hAnsi="Sylfaen"/>
                <w:sz w:val="20"/>
              </w:rPr>
              <w:t>შემოსავლების</w:t>
            </w:r>
            <w:proofErr w:type="spellEnd"/>
            <w:r w:rsidRPr="00E958BB">
              <w:rPr>
                <w:rFonts w:ascii="Sylfaen" w:hAnsi="Sylfaen"/>
                <w:sz w:val="20"/>
              </w:rPr>
              <w:t xml:space="preserve"> </w:t>
            </w:r>
            <w:proofErr w:type="spellStart"/>
            <w:r w:rsidRPr="00E958BB">
              <w:rPr>
                <w:rFonts w:ascii="Sylfaen" w:hAnsi="Sylfaen"/>
                <w:sz w:val="20"/>
              </w:rPr>
              <w:t>რეალისტური</w:t>
            </w:r>
            <w:proofErr w:type="spellEnd"/>
            <w:r w:rsidRPr="00E958BB">
              <w:rPr>
                <w:rFonts w:ascii="Sylfaen" w:hAnsi="Sylfaen"/>
                <w:sz w:val="20"/>
              </w:rPr>
              <w:t xml:space="preserve"> </w:t>
            </w:r>
            <w:proofErr w:type="spellStart"/>
            <w:r w:rsidRPr="00E958BB">
              <w:rPr>
                <w:rFonts w:ascii="Sylfaen" w:hAnsi="Sylfaen"/>
                <w:sz w:val="20"/>
              </w:rPr>
              <w:t>გეგმური</w:t>
            </w:r>
            <w:proofErr w:type="spellEnd"/>
            <w:r w:rsidRPr="00E958BB">
              <w:rPr>
                <w:rFonts w:ascii="Sylfaen" w:hAnsi="Sylfaen"/>
                <w:sz w:val="20"/>
              </w:rPr>
              <w:t xml:space="preserve"> </w:t>
            </w:r>
            <w:proofErr w:type="spellStart"/>
            <w:r w:rsidRPr="00E958BB">
              <w:rPr>
                <w:rFonts w:ascii="Sylfaen" w:hAnsi="Sylfaen"/>
                <w:sz w:val="20"/>
              </w:rPr>
              <w:t>მაჩვენებლების</w:t>
            </w:r>
            <w:proofErr w:type="spellEnd"/>
            <w:r w:rsidRPr="00E958BB">
              <w:rPr>
                <w:rFonts w:ascii="Sylfaen" w:hAnsi="Sylfaen"/>
                <w:sz w:val="20"/>
              </w:rPr>
              <w:t xml:space="preserve"> </w:t>
            </w:r>
            <w:proofErr w:type="spellStart"/>
            <w:r w:rsidRPr="00E958BB">
              <w:rPr>
                <w:rFonts w:ascii="Sylfaen" w:hAnsi="Sylfaen"/>
                <w:sz w:val="20"/>
              </w:rPr>
              <w:t>განსაზღვრას</w:t>
            </w:r>
            <w:proofErr w:type="spellEnd"/>
            <w:r w:rsidRPr="00E958BB">
              <w:rPr>
                <w:rFonts w:ascii="Sylfaen" w:hAnsi="Sylfaen"/>
                <w:sz w:val="20"/>
              </w:rPr>
              <w:t xml:space="preserve">, </w:t>
            </w:r>
            <w:proofErr w:type="spellStart"/>
            <w:r w:rsidRPr="00E958BB">
              <w:rPr>
                <w:rFonts w:ascii="Sylfaen" w:hAnsi="Sylfaen"/>
                <w:sz w:val="20"/>
              </w:rPr>
              <w:t>მათ</w:t>
            </w:r>
            <w:proofErr w:type="spellEnd"/>
            <w:r w:rsidRPr="00E958BB">
              <w:rPr>
                <w:rFonts w:ascii="Sylfaen" w:hAnsi="Sylfaen"/>
                <w:sz w:val="20"/>
              </w:rPr>
              <w:t xml:space="preserve"> </w:t>
            </w:r>
            <w:proofErr w:type="spellStart"/>
            <w:r w:rsidRPr="00E958BB">
              <w:rPr>
                <w:rFonts w:ascii="Sylfaen" w:hAnsi="Sylfaen"/>
                <w:sz w:val="20"/>
              </w:rPr>
              <w:t>შორის</w:t>
            </w:r>
            <w:proofErr w:type="spellEnd"/>
            <w:r w:rsidRPr="00E958BB">
              <w:rPr>
                <w:rFonts w:ascii="Sylfaen" w:hAnsi="Sylfaen"/>
                <w:sz w:val="20"/>
              </w:rPr>
              <w:t xml:space="preserve"> </w:t>
            </w:r>
            <w:proofErr w:type="spellStart"/>
            <w:r w:rsidRPr="00E958BB">
              <w:rPr>
                <w:rFonts w:ascii="Sylfaen" w:hAnsi="Sylfaen"/>
                <w:sz w:val="20"/>
              </w:rPr>
              <w:t>გასული</w:t>
            </w:r>
            <w:proofErr w:type="spellEnd"/>
            <w:r w:rsidRPr="00E958BB">
              <w:rPr>
                <w:rFonts w:ascii="Sylfaen" w:hAnsi="Sylfaen"/>
                <w:sz w:val="20"/>
              </w:rPr>
              <w:t xml:space="preserve"> </w:t>
            </w:r>
            <w:proofErr w:type="spellStart"/>
            <w:r w:rsidRPr="00E958BB">
              <w:rPr>
                <w:rFonts w:ascii="Sylfaen" w:hAnsi="Sylfaen"/>
                <w:sz w:val="20"/>
              </w:rPr>
              <w:t>წლების</w:t>
            </w:r>
            <w:proofErr w:type="spellEnd"/>
            <w:r w:rsidRPr="00E958BB">
              <w:rPr>
                <w:rFonts w:ascii="Sylfaen" w:hAnsi="Sylfaen"/>
                <w:sz w:val="20"/>
              </w:rPr>
              <w:t xml:space="preserve"> </w:t>
            </w:r>
            <w:proofErr w:type="spellStart"/>
            <w:r w:rsidRPr="00E958BB">
              <w:rPr>
                <w:rFonts w:ascii="Sylfaen" w:hAnsi="Sylfaen"/>
                <w:sz w:val="20"/>
              </w:rPr>
              <w:t>ტენდენციების</w:t>
            </w:r>
            <w:proofErr w:type="spellEnd"/>
            <w:r w:rsidRPr="00E958BB">
              <w:rPr>
                <w:rFonts w:ascii="Sylfaen" w:hAnsi="Sylfaen"/>
                <w:sz w:val="20"/>
              </w:rPr>
              <w:t xml:space="preserve"> </w:t>
            </w:r>
            <w:proofErr w:type="spellStart"/>
            <w:r w:rsidRPr="00E958BB">
              <w:rPr>
                <w:rFonts w:ascii="Sylfaen" w:hAnsi="Sylfaen"/>
                <w:sz w:val="20"/>
              </w:rPr>
              <w:t>გათვალისწინებით</w:t>
            </w:r>
            <w:proofErr w:type="spellEnd"/>
            <w:r w:rsidRPr="00E958BB">
              <w:rPr>
                <w:rFonts w:ascii="Sylfaen" w:hAnsi="Sylfaen"/>
                <w:sz w:val="20"/>
              </w:rPr>
              <w:t>.</w:t>
            </w:r>
          </w:p>
        </w:tc>
        <w:tc>
          <w:tcPr>
            <w:tcW w:w="1701" w:type="dxa"/>
          </w:tcPr>
          <w:p w:rsidR="00E958BB" w:rsidRPr="00E958BB" w:rsidRDefault="00E958BB" w:rsidP="00EB5DD6">
            <w:pPr>
              <w:jc w:val="center"/>
              <w:rPr>
                <w:rFonts w:ascii="Sylfaen" w:hAnsi="Sylfaen"/>
                <w:sz w:val="20"/>
                <w:lang w:val="ka-GE"/>
              </w:rPr>
            </w:pPr>
          </w:p>
        </w:tc>
        <w:tc>
          <w:tcPr>
            <w:tcW w:w="1559" w:type="dxa"/>
          </w:tcPr>
          <w:p w:rsidR="00E958BB" w:rsidRPr="00E958BB" w:rsidRDefault="00E958BB" w:rsidP="00EB5DD6">
            <w:pPr>
              <w:jc w:val="center"/>
              <w:rPr>
                <w:rFonts w:ascii="Sylfaen" w:hAnsi="Sylfaen"/>
                <w:sz w:val="20"/>
              </w:rPr>
            </w:pPr>
            <w:r w:rsidRPr="00E958BB">
              <w:rPr>
                <w:rFonts w:ascii="Sylfaen" w:hAnsi="Sylfaen"/>
                <w:sz w:val="20"/>
                <w:lang w:val="ka-GE"/>
              </w:rPr>
              <w:t>საქართველოს ფინანსთა სამინისტრო</w:t>
            </w:r>
          </w:p>
        </w:tc>
        <w:tc>
          <w:tcPr>
            <w:tcW w:w="2551" w:type="dxa"/>
          </w:tcPr>
          <w:p w:rsidR="00E958BB" w:rsidRPr="00E958BB" w:rsidRDefault="00E958BB" w:rsidP="00EB5DD6">
            <w:pPr>
              <w:jc w:val="both"/>
              <w:rPr>
                <w:rFonts w:ascii="Sylfaen" w:hAnsi="Sylfaen"/>
                <w:sz w:val="20"/>
              </w:rPr>
            </w:pPr>
          </w:p>
        </w:tc>
        <w:tc>
          <w:tcPr>
            <w:tcW w:w="5387" w:type="dxa"/>
            <w:vAlign w:val="center"/>
          </w:tcPr>
          <w:p w:rsidR="00E958BB" w:rsidRPr="00E958BB" w:rsidRDefault="00E958BB" w:rsidP="00EB5DD6">
            <w:pPr>
              <w:jc w:val="both"/>
              <w:rPr>
                <w:rFonts w:ascii="Sylfaen" w:hAnsi="Sylfaen"/>
                <w:sz w:val="20"/>
                <w:lang w:val="ka-GE"/>
              </w:rPr>
            </w:pPr>
            <w:proofErr w:type="spellStart"/>
            <w:r w:rsidRPr="00E958BB">
              <w:rPr>
                <w:rFonts w:ascii="Sylfaen" w:hAnsi="Sylfaen"/>
                <w:sz w:val="20"/>
              </w:rPr>
              <w:t>სსიპ</w:t>
            </w:r>
            <w:proofErr w:type="spellEnd"/>
            <w:r w:rsidRPr="00E958BB">
              <w:rPr>
                <w:rFonts w:ascii="Sylfaen" w:hAnsi="Sylfaen"/>
                <w:sz w:val="20"/>
              </w:rPr>
              <w:t>/</w:t>
            </w:r>
            <w:proofErr w:type="gramStart"/>
            <w:r w:rsidRPr="00E958BB">
              <w:rPr>
                <w:rFonts w:ascii="Sylfaen" w:hAnsi="Sylfaen"/>
                <w:sz w:val="20"/>
              </w:rPr>
              <w:t>ა(</w:t>
            </w:r>
            <w:proofErr w:type="gramEnd"/>
            <w:r w:rsidRPr="00E958BB">
              <w:rPr>
                <w:rFonts w:ascii="Sylfaen" w:hAnsi="Sylfaen"/>
                <w:sz w:val="20"/>
              </w:rPr>
              <w:t>ა)</w:t>
            </w:r>
            <w:proofErr w:type="spellStart"/>
            <w:r w:rsidRPr="00E958BB">
              <w:rPr>
                <w:rFonts w:ascii="Sylfaen" w:hAnsi="Sylfaen"/>
                <w:sz w:val="20"/>
              </w:rPr>
              <w:t>იპ-ების</w:t>
            </w:r>
            <w:proofErr w:type="spellEnd"/>
            <w:r w:rsidRPr="00E958BB">
              <w:rPr>
                <w:rFonts w:ascii="Sylfaen" w:hAnsi="Sylfaen"/>
                <w:sz w:val="20"/>
              </w:rPr>
              <w:t xml:space="preserve"> </w:t>
            </w:r>
            <w:proofErr w:type="spellStart"/>
            <w:r w:rsidRPr="00E958BB">
              <w:rPr>
                <w:rFonts w:ascii="Sylfaen" w:hAnsi="Sylfaen"/>
                <w:sz w:val="20"/>
              </w:rPr>
              <w:t>შესახებ</w:t>
            </w:r>
            <w:proofErr w:type="spellEnd"/>
            <w:r w:rsidRPr="00E958BB">
              <w:rPr>
                <w:rFonts w:ascii="Sylfaen" w:hAnsi="Sylfaen"/>
                <w:sz w:val="20"/>
              </w:rPr>
              <w:t xml:space="preserve"> </w:t>
            </w:r>
            <w:proofErr w:type="spellStart"/>
            <w:r w:rsidRPr="00E958BB">
              <w:rPr>
                <w:rFonts w:ascii="Sylfaen" w:hAnsi="Sylfaen"/>
                <w:sz w:val="20"/>
              </w:rPr>
              <w:t>ფინანსური</w:t>
            </w:r>
            <w:proofErr w:type="spellEnd"/>
            <w:r w:rsidRPr="00E958BB">
              <w:rPr>
                <w:rFonts w:ascii="Sylfaen" w:hAnsi="Sylfaen"/>
                <w:sz w:val="20"/>
              </w:rPr>
              <w:t xml:space="preserve"> </w:t>
            </w:r>
            <w:proofErr w:type="spellStart"/>
            <w:r w:rsidRPr="00E958BB">
              <w:rPr>
                <w:rFonts w:ascii="Sylfaen" w:hAnsi="Sylfaen"/>
                <w:sz w:val="20"/>
              </w:rPr>
              <w:t>ინფორმაციის</w:t>
            </w:r>
            <w:proofErr w:type="spellEnd"/>
            <w:r w:rsidRPr="00E958BB">
              <w:rPr>
                <w:rFonts w:ascii="Sylfaen" w:hAnsi="Sylfaen"/>
                <w:sz w:val="20"/>
              </w:rPr>
              <w:t xml:space="preserve"> </w:t>
            </w:r>
            <w:proofErr w:type="spellStart"/>
            <w:r w:rsidRPr="00E958BB">
              <w:rPr>
                <w:rFonts w:ascii="Sylfaen" w:hAnsi="Sylfaen"/>
                <w:sz w:val="20"/>
              </w:rPr>
              <w:t>აღრიცხვა</w:t>
            </w:r>
            <w:proofErr w:type="spellEnd"/>
            <w:r w:rsidRPr="00E958BB">
              <w:rPr>
                <w:rFonts w:ascii="Sylfaen" w:hAnsi="Sylfaen"/>
                <w:sz w:val="20"/>
              </w:rPr>
              <w:t xml:space="preserve"> </w:t>
            </w:r>
            <w:proofErr w:type="spellStart"/>
            <w:r w:rsidRPr="00E958BB">
              <w:rPr>
                <w:rFonts w:ascii="Sylfaen" w:hAnsi="Sylfaen"/>
                <w:sz w:val="20"/>
              </w:rPr>
              <w:t>ხორციელდება</w:t>
            </w:r>
            <w:proofErr w:type="spellEnd"/>
            <w:r w:rsidRPr="00E958BB">
              <w:rPr>
                <w:rFonts w:ascii="Sylfaen" w:hAnsi="Sylfaen"/>
                <w:sz w:val="20"/>
              </w:rPr>
              <w:t xml:space="preserve"> </w:t>
            </w:r>
            <w:proofErr w:type="spellStart"/>
            <w:r w:rsidRPr="00E958BB">
              <w:rPr>
                <w:rFonts w:ascii="Sylfaen" w:hAnsi="Sylfaen"/>
                <w:sz w:val="20"/>
              </w:rPr>
              <w:t>ერთიანი</w:t>
            </w:r>
            <w:proofErr w:type="spellEnd"/>
            <w:r w:rsidRPr="00E958BB">
              <w:rPr>
                <w:rFonts w:ascii="Sylfaen" w:hAnsi="Sylfaen"/>
                <w:sz w:val="20"/>
              </w:rPr>
              <w:t xml:space="preserve"> </w:t>
            </w:r>
            <w:proofErr w:type="spellStart"/>
            <w:r w:rsidRPr="00E958BB">
              <w:rPr>
                <w:rFonts w:ascii="Sylfaen" w:hAnsi="Sylfaen"/>
                <w:sz w:val="20"/>
              </w:rPr>
              <w:t>მიდგომით</w:t>
            </w:r>
            <w:proofErr w:type="spellEnd"/>
            <w:r w:rsidRPr="00E958BB">
              <w:rPr>
                <w:rFonts w:ascii="Sylfaen" w:hAnsi="Sylfaen"/>
                <w:sz w:val="20"/>
              </w:rPr>
              <w:t xml:space="preserve">, </w:t>
            </w:r>
            <w:proofErr w:type="spellStart"/>
            <w:r w:rsidRPr="00E958BB">
              <w:rPr>
                <w:rFonts w:ascii="Sylfaen" w:hAnsi="Sylfaen"/>
                <w:sz w:val="20"/>
              </w:rPr>
              <w:t>სახელმწიფო</w:t>
            </w:r>
            <w:proofErr w:type="spellEnd"/>
            <w:r w:rsidRPr="00E958BB">
              <w:rPr>
                <w:rFonts w:ascii="Sylfaen" w:hAnsi="Sylfaen"/>
                <w:sz w:val="20"/>
              </w:rPr>
              <w:t xml:space="preserve"> </w:t>
            </w:r>
            <w:proofErr w:type="spellStart"/>
            <w:r w:rsidRPr="00E958BB">
              <w:rPr>
                <w:rFonts w:ascii="Sylfaen" w:hAnsi="Sylfaen"/>
                <w:sz w:val="20"/>
              </w:rPr>
              <w:t>ბიუჯეტიდან</w:t>
            </w:r>
            <w:proofErr w:type="spellEnd"/>
            <w:r w:rsidRPr="00E958BB">
              <w:rPr>
                <w:rFonts w:ascii="Sylfaen" w:hAnsi="Sylfaen"/>
                <w:sz w:val="20"/>
              </w:rPr>
              <w:t xml:space="preserve"> </w:t>
            </w:r>
            <w:proofErr w:type="spellStart"/>
            <w:r w:rsidRPr="00E958BB">
              <w:rPr>
                <w:rFonts w:ascii="Sylfaen" w:hAnsi="Sylfaen"/>
                <w:sz w:val="20"/>
              </w:rPr>
              <w:t>მიღებული</w:t>
            </w:r>
            <w:proofErr w:type="spellEnd"/>
            <w:r w:rsidRPr="00E958BB">
              <w:rPr>
                <w:rFonts w:ascii="Sylfaen" w:hAnsi="Sylfaen"/>
                <w:sz w:val="20"/>
              </w:rPr>
              <w:t xml:space="preserve"> </w:t>
            </w:r>
            <w:proofErr w:type="spellStart"/>
            <w:r w:rsidRPr="00E958BB">
              <w:rPr>
                <w:rFonts w:ascii="Sylfaen" w:hAnsi="Sylfaen"/>
                <w:sz w:val="20"/>
              </w:rPr>
              <w:t>სახსრები</w:t>
            </w:r>
            <w:proofErr w:type="spellEnd"/>
            <w:r w:rsidRPr="00E958BB">
              <w:rPr>
                <w:rFonts w:ascii="Sylfaen" w:hAnsi="Sylfaen"/>
                <w:sz w:val="20"/>
              </w:rPr>
              <w:t xml:space="preserve"> </w:t>
            </w:r>
            <w:proofErr w:type="spellStart"/>
            <w:r w:rsidRPr="00E958BB">
              <w:rPr>
                <w:rFonts w:ascii="Sylfaen" w:hAnsi="Sylfaen"/>
                <w:sz w:val="20"/>
              </w:rPr>
              <w:t>და</w:t>
            </w:r>
            <w:proofErr w:type="spellEnd"/>
            <w:r w:rsidRPr="00E958BB">
              <w:rPr>
                <w:rFonts w:ascii="Sylfaen" w:hAnsi="Sylfaen"/>
                <w:sz w:val="20"/>
              </w:rPr>
              <w:t xml:space="preserve"> </w:t>
            </w:r>
            <w:proofErr w:type="spellStart"/>
            <w:r w:rsidRPr="00E958BB">
              <w:rPr>
                <w:rFonts w:ascii="Sylfaen" w:hAnsi="Sylfaen"/>
                <w:sz w:val="20"/>
              </w:rPr>
              <w:t>კანონმდებლობით</w:t>
            </w:r>
            <w:proofErr w:type="spellEnd"/>
            <w:r w:rsidRPr="00E958BB">
              <w:rPr>
                <w:rFonts w:ascii="Sylfaen" w:hAnsi="Sylfaen"/>
                <w:sz w:val="20"/>
              </w:rPr>
              <w:t xml:space="preserve"> </w:t>
            </w:r>
            <w:proofErr w:type="spellStart"/>
            <w:r w:rsidRPr="00E958BB">
              <w:rPr>
                <w:rFonts w:ascii="Sylfaen" w:hAnsi="Sylfaen"/>
                <w:sz w:val="20"/>
              </w:rPr>
              <w:t>ნებადართული</w:t>
            </w:r>
            <w:proofErr w:type="spellEnd"/>
            <w:r w:rsidRPr="00E958BB">
              <w:rPr>
                <w:rFonts w:ascii="Sylfaen" w:hAnsi="Sylfaen"/>
                <w:sz w:val="20"/>
              </w:rPr>
              <w:t xml:space="preserve"> </w:t>
            </w:r>
            <w:proofErr w:type="spellStart"/>
            <w:r w:rsidRPr="00E958BB">
              <w:rPr>
                <w:rFonts w:ascii="Sylfaen" w:hAnsi="Sylfaen"/>
                <w:sz w:val="20"/>
              </w:rPr>
              <w:t>სხვა</w:t>
            </w:r>
            <w:proofErr w:type="spellEnd"/>
            <w:r w:rsidRPr="00E958BB">
              <w:rPr>
                <w:rFonts w:ascii="Sylfaen" w:hAnsi="Sylfaen"/>
                <w:sz w:val="20"/>
              </w:rPr>
              <w:t xml:space="preserve"> (</w:t>
            </w:r>
            <w:proofErr w:type="spellStart"/>
            <w:r w:rsidRPr="00E958BB">
              <w:rPr>
                <w:rFonts w:ascii="Sylfaen" w:hAnsi="Sylfaen"/>
                <w:sz w:val="20"/>
              </w:rPr>
              <w:t>საკუთარი</w:t>
            </w:r>
            <w:proofErr w:type="spellEnd"/>
            <w:r w:rsidRPr="00E958BB">
              <w:rPr>
                <w:rFonts w:ascii="Sylfaen" w:hAnsi="Sylfaen"/>
                <w:sz w:val="20"/>
              </w:rPr>
              <w:t xml:space="preserve">) </w:t>
            </w:r>
            <w:proofErr w:type="spellStart"/>
            <w:r w:rsidRPr="00E958BB">
              <w:rPr>
                <w:rFonts w:ascii="Sylfaen" w:hAnsi="Sylfaen"/>
                <w:sz w:val="20"/>
              </w:rPr>
              <w:t>შემოსავლები</w:t>
            </w:r>
            <w:proofErr w:type="spellEnd"/>
            <w:r w:rsidRPr="00E958BB">
              <w:rPr>
                <w:rFonts w:ascii="Sylfaen" w:hAnsi="Sylfaen"/>
                <w:sz w:val="20"/>
              </w:rPr>
              <w:t xml:space="preserve"> </w:t>
            </w:r>
            <w:proofErr w:type="spellStart"/>
            <w:r w:rsidRPr="00E958BB">
              <w:rPr>
                <w:rFonts w:ascii="Sylfaen" w:hAnsi="Sylfaen"/>
                <w:sz w:val="20"/>
              </w:rPr>
              <w:t>შესაბამის</w:t>
            </w:r>
            <w:proofErr w:type="spellEnd"/>
            <w:r w:rsidRPr="00E958BB">
              <w:rPr>
                <w:rFonts w:ascii="Sylfaen" w:hAnsi="Sylfaen"/>
                <w:sz w:val="20"/>
              </w:rPr>
              <w:t xml:space="preserve"> </w:t>
            </w:r>
            <w:proofErr w:type="spellStart"/>
            <w:r w:rsidRPr="00E958BB">
              <w:rPr>
                <w:rFonts w:ascii="Sylfaen" w:hAnsi="Sylfaen"/>
                <w:sz w:val="20"/>
              </w:rPr>
              <w:t>ბიუჯეტებში</w:t>
            </w:r>
            <w:proofErr w:type="spellEnd"/>
            <w:r w:rsidRPr="00E958BB">
              <w:rPr>
                <w:rFonts w:ascii="Sylfaen" w:hAnsi="Sylfaen"/>
                <w:sz w:val="20"/>
              </w:rPr>
              <w:t xml:space="preserve">. </w:t>
            </w:r>
            <w:proofErr w:type="spellStart"/>
            <w:proofErr w:type="gramStart"/>
            <w:r w:rsidRPr="00E958BB">
              <w:rPr>
                <w:rFonts w:ascii="Sylfaen" w:hAnsi="Sylfaen"/>
                <w:sz w:val="20"/>
              </w:rPr>
              <w:t>სრული</w:t>
            </w:r>
            <w:proofErr w:type="spellEnd"/>
            <w:proofErr w:type="gramEnd"/>
            <w:r w:rsidRPr="00E958BB">
              <w:rPr>
                <w:rFonts w:ascii="Sylfaen" w:hAnsi="Sylfaen"/>
                <w:sz w:val="20"/>
              </w:rPr>
              <w:t xml:space="preserve"> </w:t>
            </w:r>
            <w:proofErr w:type="spellStart"/>
            <w:r w:rsidRPr="00E958BB">
              <w:rPr>
                <w:rFonts w:ascii="Sylfaen" w:hAnsi="Sylfaen"/>
                <w:sz w:val="20"/>
              </w:rPr>
              <w:t>ინფორმაცია</w:t>
            </w:r>
            <w:proofErr w:type="spellEnd"/>
            <w:r w:rsidRPr="00E958BB">
              <w:rPr>
                <w:rFonts w:ascii="Sylfaen" w:hAnsi="Sylfaen"/>
                <w:sz w:val="20"/>
              </w:rPr>
              <w:t xml:space="preserve"> </w:t>
            </w:r>
            <w:proofErr w:type="spellStart"/>
            <w:r w:rsidRPr="00E958BB">
              <w:rPr>
                <w:rFonts w:ascii="Sylfaen" w:hAnsi="Sylfaen"/>
                <w:sz w:val="20"/>
              </w:rPr>
              <w:t>მათ</w:t>
            </w:r>
            <w:proofErr w:type="spellEnd"/>
            <w:r w:rsidRPr="00E958BB">
              <w:rPr>
                <w:rFonts w:ascii="Sylfaen" w:hAnsi="Sylfaen"/>
                <w:sz w:val="20"/>
              </w:rPr>
              <w:t xml:space="preserve"> </w:t>
            </w:r>
            <w:proofErr w:type="spellStart"/>
            <w:r w:rsidRPr="00E958BB">
              <w:rPr>
                <w:rFonts w:ascii="Sylfaen" w:hAnsi="Sylfaen"/>
                <w:sz w:val="20"/>
              </w:rPr>
              <w:t>შორის</w:t>
            </w:r>
            <w:proofErr w:type="spellEnd"/>
            <w:r w:rsidRPr="00E958BB">
              <w:rPr>
                <w:rFonts w:ascii="Sylfaen" w:hAnsi="Sylfaen"/>
                <w:sz w:val="20"/>
              </w:rPr>
              <w:t xml:space="preserve">, </w:t>
            </w:r>
            <w:proofErr w:type="spellStart"/>
            <w:r w:rsidRPr="00E958BB">
              <w:rPr>
                <w:rFonts w:ascii="Sylfaen" w:hAnsi="Sylfaen"/>
                <w:sz w:val="20"/>
              </w:rPr>
              <w:t>როგორც</w:t>
            </w:r>
            <w:proofErr w:type="spellEnd"/>
            <w:r w:rsidRPr="00E958BB">
              <w:rPr>
                <w:rFonts w:ascii="Sylfaen" w:hAnsi="Sylfaen"/>
                <w:sz w:val="20"/>
              </w:rPr>
              <w:t xml:space="preserve"> </w:t>
            </w:r>
            <w:proofErr w:type="spellStart"/>
            <w:r w:rsidRPr="00E958BB">
              <w:rPr>
                <w:rFonts w:ascii="Sylfaen" w:hAnsi="Sylfaen"/>
                <w:sz w:val="20"/>
              </w:rPr>
              <w:t>სსიპ</w:t>
            </w:r>
            <w:proofErr w:type="spellEnd"/>
            <w:r w:rsidRPr="00E958BB">
              <w:rPr>
                <w:rFonts w:ascii="Sylfaen" w:hAnsi="Sylfaen"/>
                <w:sz w:val="20"/>
              </w:rPr>
              <w:t>/ა(ა)</w:t>
            </w:r>
            <w:proofErr w:type="spellStart"/>
            <w:r w:rsidRPr="00E958BB">
              <w:rPr>
                <w:rFonts w:ascii="Sylfaen" w:hAnsi="Sylfaen"/>
                <w:sz w:val="20"/>
              </w:rPr>
              <w:t>იპ-ების</w:t>
            </w:r>
            <w:proofErr w:type="spellEnd"/>
            <w:r w:rsidRPr="00E958BB">
              <w:rPr>
                <w:rFonts w:ascii="Sylfaen" w:hAnsi="Sylfaen"/>
                <w:sz w:val="20"/>
              </w:rPr>
              <w:t xml:space="preserve">, </w:t>
            </w:r>
            <w:proofErr w:type="spellStart"/>
            <w:r w:rsidRPr="00E958BB">
              <w:rPr>
                <w:rFonts w:ascii="Sylfaen" w:hAnsi="Sylfaen"/>
                <w:sz w:val="20"/>
              </w:rPr>
              <w:t>ასევე</w:t>
            </w:r>
            <w:proofErr w:type="spellEnd"/>
            <w:r w:rsidRPr="00E958BB">
              <w:rPr>
                <w:rFonts w:ascii="Sylfaen" w:hAnsi="Sylfaen"/>
                <w:sz w:val="20"/>
              </w:rPr>
              <w:t xml:space="preserve">, </w:t>
            </w:r>
            <w:proofErr w:type="spellStart"/>
            <w:r w:rsidRPr="00E958BB">
              <w:rPr>
                <w:rFonts w:ascii="Sylfaen" w:hAnsi="Sylfaen"/>
                <w:sz w:val="20"/>
              </w:rPr>
              <w:t>მათ</w:t>
            </w:r>
            <w:proofErr w:type="spellEnd"/>
            <w:r w:rsidRPr="00E958BB">
              <w:rPr>
                <w:rFonts w:ascii="Sylfaen" w:hAnsi="Sylfaen"/>
                <w:sz w:val="20"/>
              </w:rPr>
              <w:t xml:space="preserve"> </w:t>
            </w:r>
            <w:proofErr w:type="spellStart"/>
            <w:r w:rsidRPr="00E958BB">
              <w:rPr>
                <w:rFonts w:ascii="Sylfaen" w:hAnsi="Sylfaen"/>
                <w:sz w:val="20"/>
              </w:rPr>
              <w:t>მიერ</w:t>
            </w:r>
            <w:proofErr w:type="spellEnd"/>
            <w:r w:rsidRPr="00E958BB">
              <w:rPr>
                <w:rFonts w:ascii="Sylfaen" w:hAnsi="Sylfaen"/>
                <w:sz w:val="20"/>
              </w:rPr>
              <w:t xml:space="preserve"> </w:t>
            </w:r>
            <w:proofErr w:type="spellStart"/>
            <w:r w:rsidRPr="00E958BB">
              <w:rPr>
                <w:rFonts w:ascii="Sylfaen" w:hAnsi="Sylfaen"/>
                <w:sz w:val="20"/>
              </w:rPr>
              <w:t>განხორციელებული</w:t>
            </w:r>
            <w:proofErr w:type="spellEnd"/>
            <w:r w:rsidRPr="00E958BB">
              <w:rPr>
                <w:rFonts w:ascii="Sylfaen" w:hAnsi="Sylfaen"/>
                <w:sz w:val="20"/>
              </w:rPr>
              <w:t xml:space="preserve"> </w:t>
            </w:r>
            <w:proofErr w:type="spellStart"/>
            <w:r w:rsidRPr="00E958BB">
              <w:rPr>
                <w:rFonts w:ascii="Sylfaen" w:hAnsi="Sylfaen"/>
                <w:sz w:val="20"/>
              </w:rPr>
              <w:t>პროგრამების</w:t>
            </w:r>
            <w:proofErr w:type="spellEnd"/>
            <w:r w:rsidRPr="00E958BB">
              <w:rPr>
                <w:rFonts w:ascii="Sylfaen" w:hAnsi="Sylfaen"/>
                <w:sz w:val="20"/>
              </w:rPr>
              <w:t>/</w:t>
            </w:r>
            <w:proofErr w:type="spellStart"/>
            <w:r w:rsidRPr="00E958BB">
              <w:rPr>
                <w:rFonts w:ascii="Sylfaen" w:hAnsi="Sylfaen"/>
                <w:sz w:val="20"/>
              </w:rPr>
              <w:t>პროექტების</w:t>
            </w:r>
            <w:proofErr w:type="spellEnd"/>
            <w:r w:rsidRPr="00E958BB">
              <w:rPr>
                <w:rFonts w:ascii="Sylfaen" w:hAnsi="Sylfaen"/>
                <w:sz w:val="20"/>
              </w:rPr>
              <w:t xml:space="preserve"> </w:t>
            </w:r>
            <w:proofErr w:type="spellStart"/>
            <w:r w:rsidRPr="00E958BB">
              <w:rPr>
                <w:rFonts w:ascii="Sylfaen" w:hAnsi="Sylfaen"/>
                <w:sz w:val="20"/>
              </w:rPr>
              <w:t>შესახებ</w:t>
            </w:r>
            <w:proofErr w:type="spellEnd"/>
            <w:r w:rsidRPr="00E958BB">
              <w:rPr>
                <w:rFonts w:ascii="Sylfaen" w:hAnsi="Sylfaen"/>
                <w:sz w:val="20"/>
              </w:rPr>
              <w:t xml:space="preserve"> </w:t>
            </w:r>
            <w:proofErr w:type="spellStart"/>
            <w:r w:rsidRPr="00E958BB">
              <w:rPr>
                <w:rFonts w:ascii="Sylfaen" w:hAnsi="Sylfaen"/>
                <w:sz w:val="20"/>
              </w:rPr>
              <w:t>ასახულია</w:t>
            </w:r>
            <w:proofErr w:type="spellEnd"/>
            <w:r w:rsidRPr="00E958BB">
              <w:rPr>
                <w:rFonts w:ascii="Sylfaen" w:hAnsi="Sylfaen"/>
                <w:sz w:val="20"/>
              </w:rPr>
              <w:t xml:space="preserve"> </w:t>
            </w:r>
            <w:proofErr w:type="spellStart"/>
            <w:r w:rsidRPr="00E958BB">
              <w:rPr>
                <w:rFonts w:ascii="Sylfaen" w:hAnsi="Sylfaen"/>
                <w:sz w:val="20"/>
              </w:rPr>
              <w:t>ბიუჯეტის</w:t>
            </w:r>
            <w:proofErr w:type="spellEnd"/>
            <w:r w:rsidRPr="00E958BB">
              <w:rPr>
                <w:rFonts w:ascii="Sylfaen" w:hAnsi="Sylfaen"/>
                <w:sz w:val="20"/>
              </w:rPr>
              <w:t xml:space="preserve"> </w:t>
            </w:r>
            <w:proofErr w:type="spellStart"/>
            <w:r w:rsidRPr="00E958BB">
              <w:rPr>
                <w:rFonts w:ascii="Sylfaen" w:hAnsi="Sylfaen"/>
                <w:sz w:val="20"/>
              </w:rPr>
              <w:t>შესრულების</w:t>
            </w:r>
            <w:proofErr w:type="spellEnd"/>
            <w:r w:rsidRPr="00E958BB">
              <w:rPr>
                <w:rFonts w:ascii="Sylfaen" w:hAnsi="Sylfaen"/>
                <w:sz w:val="20"/>
                <w:lang w:val="ka-GE"/>
              </w:rPr>
              <w:t xml:space="preserve"> ანგარიშის</w:t>
            </w:r>
            <w:r w:rsidRPr="00E958BB">
              <w:rPr>
                <w:rFonts w:ascii="Sylfaen" w:hAnsi="Sylfaen"/>
                <w:sz w:val="20"/>
              </w:rPr>
              <w:t xml:space="preserve"> VII </w:t>
            </w:r>
            <w:proofErr w:type="spellStart"/>
            <w:r w:rsidRPr="00E958BB">
              <w:rPr>
                <w:rFonts w:ascii="Sylfaen" w:hAnsi="Sylfaen"/>
                <w:sz w:val="20"/>
              </w:rPr>
              <w:t>თავში</w:t>
            </w:r>
            <w:proofErr w:type="spellEnd"/>
            <w:r w:rsidRPr="00E958BB">
              <w:rPr>
                <w:rFonts w:ascii="Sylfaen" w:hAnsi="Sylfaen"/>
                <w:sz w:val="20"/>
              </w:rPr>
              <w:t xml:space="preserve">. </w:t>
            </w:r>
            <w:r w:rsidRPr="00E958BB">
              <w:rPr>
                <w:rFonts w:ascii="Sylfaen" w:hAnsi="Sylfaen"/>
                <w:sz w:val="20"/>
                <w:lang w:val="ka-GE"/>
              </w:rPr>
              <w:t xml:space="preserve">ამასთან, იმ საჯარო სამართლის იურიდიული პირების ბიუჯეტი, საშტატო ნუსხა და სახელფასო </w:t>
            </w:r>
            <w:r w:rsidRPr="00E958BB">
              <w:rPr>
                <w:rFonts w:ascii="Sylfaen" w:hAnsi="Sylfaen"/>
                <w:sz w:val="20"/>
                <w:lang w:val="ka-GE"/>
              </w:rPr>
              <w:lastRenderedPageBreak/>
              <w:t xml:space="preserve">ფონდი, რომელთა </w:t>
            </w:r>
            <w:proofErr w:type="spellStart"/>
            <w:r w:rsidRPr="00E958BB">
              <w:rPr>
                <w:rFonts w:ascii="Sylfaen" w:hAnsi="Sylfaen"/>
                <w:sz w:val="20"/>
              </w:rPr>
              <w:t>წლიური</w:t>
            </w:r>
            <w:proofErr w:type="spellEnd"/>
            <w:r w:rsidRPr="00E958BB">
              <w:rPr>
                <w:rFonts w:ascii="Sylfaen" w:hAnsi="Sylfaen"/>
                <w:sz w:val="20"/>
              </w:rPr>
              <w:t xml:space="preserve"> </w:t>
            </w:r>
            <w:proofErr w:type="spellStart"/>
            <w:r w:rsidRPr="00E958BB">
              <w:rPr>
                <w:rFonts w:ascii="Sylfaen" w:hAnsi="Sylfaen"/>
                <w:sz w:val="20"/>
              </w:rPr>
              <w:t>შემოსავალი</w:t>
            </w:r>
            <w:proofErr w:type="spellEnd"/>
            <w:r w:rsidRPr="00E958BB">
              <w:rPr>
                <w:rFonts w:ascii="Sylfaen" w:hAnsi="Sylfaen"/>
                <w:sz w:val="20"/>
              </w:rPr>
              <w:t xml:space="preserve">, </w:t>
            </w:r>
            <w:proofErr w:type="spellStart"/>
            <w:r w:rsidRPr="00E958BB">
              <w:rPr>
                <w:rFonts w:ascii="Sylfaen" w:hAnsi="Sylfaen"/>
                <w:sz w:val="20"/>
              </w:rPr>
              <w:t>ბიუჯეტიდან</w:t>
            </w:r>
            <w:proofErr w:type="spellEnd"/>
            <w:r w:rsidRPr="00E958BB">
              <w:rPr>
                <w:rFonts w:ascii="Sylfaen" w:hAnsi="Sylfaen"/>
                <w:sz w:val="20"/>
              </w:rPr>
              <w:t xml:space="preserve"> </w:t>
            </w:r>
            <w:proofErr w:type="spellStart"/>
            <w:r w:rsidRPr="00E958BB">
              <w:rPr>
                <w:rFonts w:ascii="Sylfaen" w:hAnsi="Sylfaen"/>
                <w:sz w:val="20"/>
              </w:rPr>
              <w:t>მიღებული</w:t>
            </w:r>
            <w:proofErr w:type="spellEnd"/>
            <w:r w:rsidRPr="00E958BB">
              <w:rPr>
                <w:rFonts w:ascii="Sylfaen" w:hAnsi="Sylfaen"/>
                <w:sz w:val="20"/>
              </w:rPr>
              <w:t xml:space="preserve"> </w:t>
            </w:r>
            <w:proofErr w:type="spellStart"/>
            <w:r w:rsidRPr="00E958BB">
              <w:rPr>
                <w:rFonts w:ascii="Sylfaen" w:hAnsi="Sylfaen"/>
                <w:sz w:val="20"/>
              </w:rPr>
              <w:t>დაფინანსების</w:t>
            </w:r>
            <w:proofErr w:type="spellEnd"/>
            <w:r w:rsidRPr="00E958BB">
              <w:rPr>
                <w:rFonts w:ascii="Sylfaen" w:hAnsi="Sylfaen"/>
                <w:sz w:val="20"/>
              </w:rPr>
              <w:t xml:space="preserve"> </w:t>
            </w:r>
            <w:proofErr w:type="spellStart"/>
            <w:r w:rsidRPr="00E958BB">
              <w:rPr>
                <w:rFonts w:ascii="Sylfaen" w:hAnsi="Sylfaen"/>
                <w:sz w:val="20"/>
              </w:rPr>
              <w:t>გარდა</w:t>
            </w:r>
            <w:proofErr w:type="spellEnd"/>
            <w:r w:rsidRPr="00E958BB">
              <w:rPr>
                <w:rFonts w:ascii="Sylfaen" w:hAnsi="Sylfaen"/>
                <w:sz w:val="20"/>
                <w:lang w:val="ka-GE"/>
              </w:rPr>
              <w:t xml:space="preserve"> აღემატება 1 მლნ ლარს („საჯარო სამართლის იურიდიული პირის შესახებ“ საქართველოს კანონის მე-12 მუხლის მე-4 პუნქტი), დეტალურად განიხილება საქართველოს ფინანსთა სამინისტროს მიერ კანონმდებლობით დადგენილი წესით. </w:t>
            </w:r>
          </w:p>
          <w:p w:rsidR="00E958BB" w:rsidRPr="00E958BB" w:rsidRDefault="00E958BB" w:rsidP="00EB5DD6">
            <w:pPr>
              <w:jc w:val="both"/>
              <w:rPr>
                <w:rFonts w:ascii="Sylfaen" w:hAnsi="Sylfaen"/>
                <w:sz w:val="20"/>
                <w:lang w:val="ka-GE"/>
              </w:rPr>
            </w:pPr>
            <w:proofErr w:type="spellStart"/>
            <w:proofErr w:type="gramStart"/>
            <w:r w:rsidRPr="00E958BB">
              <w:rPr>
                <w:rFonts w:ascii="Sylfaen" w:hAnsi="Sylfaen"/>
                <w:sz w:val="20"/>
              </w:rPr>
              <w:t>სახელმწიფო</w:t>
            </w:r>
            <w:proofErr w:type="spellEnd"/>
            <w:r w:rsidRPr="00E958BB">
              <w:rPr>
                <w:rFonts w:ascii="Sylfaen" w:hAnsi="Sylfaen"/>
                <w:sz w:val="20"/>
              </w:rPr>
              <w:t xml:space="preserve"> </w:t>
            </w:r>
            <w:proofErr w:type="spellStart"/>
            <w:r w:rsidRPr="00E958BB">
              <w:rPr>
                <w:rFonts w:ascii="Sylfaen" w:hAnsi="Sylfaen"/>
                <w:sz w:val="20"/>
              </w:rPr>
              <w:t>აუდიტის</w:t>
            </w:r>
            <w:proofErr w:type="spellEnd"/>
            <w:r w:rsidRPr="00E958BB">
              <w:rPr>
                <w:rFonts w:ascii="Sylfaen" w:hAnsi="Sylfaen"/>
                <w:sz w:val="20"/>
              </w:rPr>
              <w:t xml:space="preserve"> </w:t>
            </w:r>
            <w:proofErr w:type="spellStart"/>
            <w:r w:rsidRPr="00E958BB">
              <w:rPr>
                <w:rFonts w:ascii="Sylfaen" w:hAnsi="Sylfaen"/>
                <w:sz w:val="20"/>
              </w:rPr>
              <w:t>სამსახურის</w:t>
            </w:r>
            <w:proofErr w:type="spellEnd"/>
            <w:r w:rsidRPr="00E958BB">
              <w:rPr>
                <w:rFonts w:ascii="Sylfaen" w:hAnsi="Sylfaen"/>
                <w:sz w:val="20"/>
              </w:rPr>
              <w:t xml:space="preserve"> </w:t>
            </w:r>
            <w:proofErr w:type="spellStart"/>
            <w:r w:rsidRPr="00E958BB">
              <w:rPr>
                <w:rFonts w:ascii="Sylfaen" w:hAnsi="Sylfaen"/>
                <w:sz w:val="20"/>
              </w:rPr>
              <w:t>დასკვნებში</w:t>
            </w:r>
            <w:proofErr w:type="spellEnd"/>
            <w:r w:rsidRPr="00E958BB">
              <w:rPr>
                <w:rFonts w:ascii="Sylfaen" w:hAnsi="Sylfaen"/>
                <w:sz w:val="20"/>
              </w:rPr>
              <w:t xml:space="preserve"> </w:t>
            </w:r>
            <w:proofErr w:type="spellStart"/>
            <w:r w:rsidRPr="00E958BB">
              <w:rPr>
                <w:rFonts w:ascii="Sylfaen" w:hAnsi="Sylfaen"/>
                <w:sz w:val="20"/>
              </w:rPr>
              <w:t>არაერთხელ</w:t>
            </w:r>
            <w:proofErr w:type="spellEnd"/>
            <w:r w:rsidRPr="00E958BB">
              <w:rPr>
                <w:rFonts w:ascii="Sylfaen" w:hAnsi="Sylfaen"/>
                <w:sz w:val="20"/>
              </w:rPr>
              <w:t xml:space="preserve"> </w:t>
            </w:r>
            <w:proofErr w:type="spellStart"/>
            <w:r w:rsidRPr="00E958BB">
              <w:rPr>
                <w:rFonts w:ascii="Sylfaen" w:hAnsi="Sylfaen"/>
                <w:sz w:val="20"/>
              </w:rPr>
              <w:t>იყო</w:t>
            </w:r>
            <w:proofErr w:type="spellEnd"/>
            <w:r w:rsidRPr="00E958BB">
              <w:rPr>
                <w:rFonts w:ascii="Sylfaen" w:hAnsi="Sylfaen"/>
                <w:sz w:val="20"/>
              </w:rPr>
              <w:t xml:space="preserve"> </w:t>
            </w:r>
            <w:proofErr w:type="spellStart"/>
            <w:r w:rsidRPr="00E958BB">
              <w:rPr>
                <w:rFonts w:ascii="Sylfaen" w:hAnsi="Sylfaen"/>
                <w:sz w:val="20"/>
              </w:rPr>
              <w:t>მითითებული</w:t>
            </w:r>
            <w:proofErr w:type="spellEnd"/>
            <w:r w:rsidRPr="00E958BB">
              <w:rPr>
                <w:rFonts w:ascii="Sylfaen" w:hAnsi="Sylfaen"/>
                <w:sz w:val="20"/>
              </w:rPr>
              <w:t xml:space="preserve"> </w:t>
            </w:r>
            <w:proofErr w:type="spellStart"/>
            <w:r w:rsidRPr="00E958BB">
              <w:rPr>
                <w:rFonts w:ascii="Sylfaen" w:hAnsi="Sylfaen"/>
                <w:sz w:val="20"/>
              </w:rPr>
              <w:t>საჯარო</w:t>
            </w:r>
            <w:proofErr w:type="spellEnd"/>
            <w:r w:rsidRPr="00E958BB">
              <w:rPr>
                <w:rFonts w:ascii="Sylfaen" w:hAnsi="Sylfaen"/>
                <w:sz w:val="20"/>
              </w:rPr>
              <w:t xml:space="preserve"> </w:t>
            </w:r>
            <w:proofErr w:type="spellStart"/>
            <w:r w:rsidRPr="00E958BB">
              <w:rPr>
                <w:rFonts w:ascii="Sylfaen" w:hAnsi="Sylfaen"/>
                <w:sz w:val="20"/>
              </w:rPr>
              <w:t>სამართლის</w:t>
            </w:r>
            <w:proofErr w:type="spellEnd"/>
            <w:r w:rsidRPr="00E958BB">
              <w:rPr>
                <w:rFonts w:ascii="Sylfaen" w:hAnsi="Sylfaen"/>
                <w:sz w:val="20"/>
              </w:rPr>
              <w:t xml:space="preserve"> </w:t>
            </w:r>
            <w:proofErr w:type="spellStart"/>
            <w:r w:rsidRPr="00E958BB">
              <w:rPr>
                <w:rFonts w:ascii="Sylfaen" w:hAnsi="Sylfaen"/>
                <w:sz w:val="20"/>
              </w:rPr>
              <w:t>იურიდიული</w:t>
            </w:r>
            <w:proofErr w:type="spellEnd"/>
            <w:r w:rsidRPr="00E958BB">
              <w:rPr>
                <w:rFonts w:ascii="Sylfaen" w:hAnsi="Sylfaen"/>
                <w:sz w:val="20"/>
              </w:rPr>
              <w:t xml:space="preserve"> </w:t>
            </w:r>
            <w:proofErr w:type="spellStart"/>
            <w:r w:rsidRPr="00E958BB">
              <w:rPr>
                <w:rFonts w:ascii="Sylfaen" w:hAnsi="Sylfaen"/>
                <w:sz w:val="20"/>
              </w:rPr>
              <w:t>პირების</w:t>
            </w:r>
            <w:proofErr w:type="spellEnd"/>
            <w:r w:rsidRPr="00E958BB">
              <w:rPr>
                <w:rFonts w:ascii="Sylfaen" w:hAnsi="Sylfaen"/>
                <w:sz w:val="20"/>
              </w:rPr>
              <w:t xml:space="preserve"> </w:t>
            </w:r>
            <w:proofErr w:type="spellStart"/>
            <w:r w:rsidRPr="00E958BB">
              <w:rPr>
                <w:rFonts w:ascii="Sylfaen" w:hAnsi="Sylfaen"/>
                <w:sz w:val="20"/>
              </w:rPr>
              <w:t>ანგარიშებზე</w:t>
            </w:r>
            <w:proofErr w:type="spellEnd"/>
            <w:r w:rsidRPr="00E958BB">
              <w:rPr>
                <w:rFonts w:ascii="Sylfaen" w:hAnsi="Sylfaen"/>
                <w:sz w:val="20"/>
              </w:rPr>
              <w:t xml:space="preserve"> </w:t>
            </w:r>
            <w:proofErr w:type="spellStart"/>
            <w:r w:rsidRPr="00E958BB">
              <w:rPr>
                <w:rFonts w:ascii="Sylfaen" w:hAnsi="Sylfaen"/>
                <w:sz w:val="20"/>
              </w:rPr>
              <w:t>არსებული</w:t>
            </w:r>
            <w:proofErr w:type="spellEnd"/>
            <w:r w:rsidRPr="00E958BB">
              <w:rPr>
                <w:rFonts w:ascii="Sylfaen" w:hAnsi="Sylfaen"/>
                <w:sz w:val="20"/>
              </w:rPr>
              <w:t xml:space="preserve"> </w:t>
            </w:r>
            <w:proofErr w:type="spellStart"/>
            <w:r w:rsidRPr="00E958BB">
              <w:rPr>
                <w:rFonts w:ascii="Sylfaen" w:hAnsi="Sylfaen"/>
                <w:sz w:val="20"/>
              </w:rPr>
              <w:t>თავისუფალი</w:t>
            </w:r>
            <w:proofErr w:type="spellEnd"/>
            <w:r w:rsidRPr="00E958BB">
              <w:rPr>
                <w:rFonts w:ascii="Sylfaen" w:hAnsi="Sylfaen"/>
                <w:sz w:val="20"/>
              </w:rPr>
              <w:t xml:space="preserve"> </w:t>
            </w:r>
            <w:proofErr w:type="spellStart"/>
            <w:r w:rsidRPr="00E958BB">
              <w:rPr>
                <w:rFonts w:ascii="Sylfaen" w:hAnsi="Sylfaen"/>
                <w:sz w:val="20"/>
              </w:rPr>
              <w:t>ნაშთების</w:t>
            </w:r>
            <w:proofErr w:type="spellEnd"/>
            <w:r w:rsidRPr="00E958BB">
              <w:rPr>
                <w:rFonts w:ascii="Sylfaen" w:hAnsi="Sylfaen"/>
                <w:sz w:val="20"/>
              </w:rPr>
              <w:t xml:space="preserve"> </w:t>
            </w:r>
            <w:proofErr w:type="spellStart"/>
            <w:r w:rsidRPr="00E958BB">
              <w:rPr>
                <w:rFonts w:ascii="Sylfaen" w:hAnsi="Sylfaen"/>
                <w:sz w:val="20"/>
              </w:rPr>
              <w:t>გამოყენების</w:t>
            </w:r>
            <w:proofErr w:type="spellEnd"/>
            <w:r w:rsidRPr="00E958BB">
              <w:rPr>
                <w:rFonts w:ascii="Sylfaen" w:hAnsi="Sylfaen"/>
                <w:sz w:val="20"/>
              </w:rPr>
              <w:t xml:space="preserve"> </w:t>
            </w:r>
            <w:proofErr w:type="spellStart"/>
            <w:r w:rsidRPr="00E958BB">
              <w:rPr>
                <w:rFonts w:ascii="Sylfaen" w:hAnsi="Sylfaen"/>
                <w:sz w:val="20"/>
              </w:rPr>
              <w:t>თაობაზე</w:t>
            </w:r>
            <w:proofErr w:type="spellEnd"/>
            <w:r w:rsidRPr="00E958BB">
              <w:rPr>
                <w:rFonts w:ascii="Sylfaen" w:hAnsi="Sylfaen"/>
                <w:sz w:val="20"/>
              </w:rPr>
              <w:t xml:space="preserve"> </w:t>
            </w:r>
            <w:proofErr w:type="spellStart"/>
            <w:r w:rsidRPr="00E958BB">
              <w:rPr>
                <w:rFonts w:ascii="Sylfaen" w:hAnsi="Sylfaen"/>
                <w:sz w:val="20"/>
              </w:rPr>
              <w:t>რეკომენდაცია</w:t>
            </w:r>
            <w:proofErr w:type="spellEnd"/>
            <w:r w:rsidRPr="00E958BB">
              <w:rPr>
                <w:rFonts w:ascii="Sylfaen" w:hAnsi="Sylfaen"/>
                <w:sz w:val="20"/>
              </w:rPr>
              <w:t xml:space="preserve">, </w:t>
            </w:r>
            <w:r w:rsidRPr="00E958BB">
              <w:rPr>
                <w:rFonts w:ascii="Sylfaen" w:hAnsi="Sylfaen"/>
                <w:sz w:val="20"/>
                <w:lang w:val="ka-GE"/>
              </w:rPr>
              <w:t>რაც</w:t>
            </w:r>
            <w:r w:rsidRPr="00E958BB">
              <w:rPr>
                <w:rFonts w:ascii="Sylfaen" w:hAnsi="Sylfaen"/>
                <w:sz w:val="20"/>
              </w:rPr>
              <w:t xml:space="preserve"> </w:t>
            </w:r>
            <w:proofErr w:type="spellStart"/>
            <w:r w:rsidRPr="00E958BB">
              <w:rPr>
                <w:rFonts w:ascii="Sylfaen" w:hAnsi="Sylfaen"/>
                <w:sz w:val="20"/>
              </w:rPr>
              <w:t>გათვალისწინებული</w:t>
            </w:r>
            <w:proofErr w:type="spellEnd"/>
            <w:r w:rsidRPr="00E958BB">
              <w:rPr>
                <w:rFonts w:ascii="Sylfaen" w:hAnsi="Sylfaen"/>
                <w:sz w:val="20"/>
              </w:rPr>
              <w:t xml:space="preserve"> </w:t>
            </w:r>
            <w:proofErr w:type="spellStart"/>
            <w:r w:rsidRPr="00E958BB">
              <w:rPr>
                <w:rFonts w:ascii="Sylfaen" w:hAnsi="Sylfaen"/>
                <w:sz w:val="20"/>
              </w:rPr>
              <w:t>იქნა</w:t>
            </w:r>
            <w:proofErr w:type="spellEnd"/>
            <w:r w:rsidRPr="00E958BB">
              <w:rPr>
                <w:rFonts w:ascii="Sylfaen" w:hAnsi="Sylfaen"/>
                <w:sz w:val="20"/>
              </w:rPr>
              <w:t xml:space="preserve"> „</w:t>
            </w:r>
            <w:proofErr w:type="spellStart"/>
            <w:r w:rsidRPr="00E958BB">
              <w:rPr>
                <w:rFonts w:ascii="Sylfaen" w:hAnsi="Sylfaen"/>
                <w:sz w:val="20"/>
              </w:rPr>
              <w:t>საქართველოს</w:t>
            </w:r>
            <w:proofErr w:type="spellEnd"/>
            <w:r w:rsidRPr="00E958BB">
              <w:rPr>
                <w:rFonts w:ascii="Sylfaen" w:hAnsi="Sylfaen"/>
                <w:sz w:val="20"/>
              </w:rPr>
              <w:t xml:space="preserve"> 2021 </w:t>
            </w:r>
            <w:proofErr w:type="spellStart"/>
            <w:r w:rsidRPr="00E958BB">
              <w:rPr>
                <w:rFonts w:ascii="Sylfaen" w:hAnsi="Sylfaen"/>
                <w:sz w:val="20"/>
              </w:rPr>
              <w:t>წლის</w:t>
            </w:r>
            <w:proofErr w:type="spellEnd"/>
            <w:r w:rsidRPr="00E958BB">
              <w:rPr>
                <w:rFonts w:ascii="Sylfaen" w:hAnsi="Sylfaen"/>
                <w:sz w:val="20"/>
              </w:rPr>
              <w:t xml:space="preserve"> </w:t>
            </w:r>
            <w:proofErr w:type="spellStart"/>
            <w:r w:rsidRPr="00E958BB">
              <w:rPr>
                <w:rFonts w:ascii="Sylfaen" w:hAnsi="Sylfaen"/>
                <w:sz w:val="20"/>
              </w:rPr>
              <w:t>სახელმწიფო</w:t>
            </w:r>
            <w:proofErr w:type="spellEnd"/>
            <w:r w:rsidRPr="00E958BB">
              <w:rPr>
                <w:rFonts w:ascii="Sylfaen" w:hAnsi="Sylfaen"/>
                <w:sz w:val="20"/>
              </w:rPr>
              <w:t xml:space="preserve"> </w:t>
            </w:r>
            <w:proofErr w:type="spellStart"/>
            <w:r w:rsidRPr="00E958BB">
              <w:rPr>
                <w:rFonts w:ascii="Sylfaen" w:hAnsi="Sylfaen"/>
                <w:sz w:val="20"/>
              </w:rPr>
              <w:t>ბიუჯეტის</w:t>
            </w:r>
            <w:proofErr w:type="spellEnd"/>
            <w:r w:rsidRPr="00E958BB">
              <w:rPr>
                <w:rFonts w:ascii="Sylfaen" w:hAnsi="Sylfaen"/>
                <w:sz w:val="20"/>
              </w:rPr>
              <w:t xml:space="preserve"> </w:t>
            </w:r>
            <w:proofErr w:type="spellStart"/>
            <w:r w:rsidRPr="00E958BB">
              <w:rPr>
                <w:rFonts w:ascii="Sylfaen" w:hAnsi="Sylfaen"/>
                <w:sz w:val="20"/>
              </w:rPr>
              <w:t>შესახებ</w:t>
            </w:r>
            <w:proofErr w:type="spellEnd"/>
            <w:r w:rsidRPr="00E958BB">
              <w:rPr>
                <w:rFonts w:ascii="Sylfaen" w:hAnsi="Sylfaen"/>
                <w:sz w:val="20"/>
              </w:rPr>
              <w:t xml:space="preserve">“ </w:t>
            </w:r>
            <w:proofErr w:type="spellStart"/>
            <w:r w:rsidRPr="00E958BB">
              <w:rPr>
                <w:rFonts w:ascii="Sylfaen" w:hAnsi="Sylfaen"/>
                <w:sz w:val="20"/>
              </w:rPr>
              <w:t>საქართველოს</w:t>
            </w:r>
            <w:proofErr w:type="spellEnd"/>
            <w:r w:rsidRPr="00E958BB">
              <w:rPr>
                <w:rFonts w:ascii="Sylfaen" w:hAnsi="Sylfaen"/>
                <w:sz w:val="20"/>
              </w:rPr>
              <w:t xml:space="preserve"> </w:t>
            </w:r>
            <w:proofErr w:type="spellStart"/>
            <w:r w:rsidRPr="00E958BB">
              <w:rPr>
                <w:rFonts w:ascii="Sylfaen" w:hAnsi="Sylfaen"/>
                <w:sz w:val="20"/>
              </w:rPr>
              <w:t>კანონში</w:t>
            </w:r>
            <w:proofErr w:type="spellEnd"/>
            <w:r w:rsidRPr="00E958BB">
              <w:rPr>
                <w:rFonts w:ascii="Sylfaen" w:hAnsi="Sylfaen"/>
                <w:sz w:val="20"/>
              </w:rPr>
              <w:t xml:space="preserve"> </w:t>
            </w:r>
            <w:proofErr w:type="spellStart"/>
            <w:r w:rsidRPr="00E958BB">
              <w:rPr>
                <w:rFonts w:ascii="Sylfaen" w:hAnsi="Sylfaen"/>
                <w:sz w:val="20"/>
              </w:rPr>
              <w:t>და</w:t>
            </w:r>
            <w:proofErr w:type="spellEnd"/>
            <w:r w:rsidRPr="00E958BB">
              <w:rPr>
                <w:rFonts w:ascii="Sylfaen" w:hAnsi="Sylfaen"/>
                <w:sz w:val="20"/>
              </w:rPr>
              <w:t xml:space="preserve"> „</w:t>
            </w:r>
            <w:proofErr w:type="spellStart"/>
            <w:r w:rsidRPr="00E958BB">
              <w:rPr>
                <w:rFonts w:ascii="Sylfaen" w:hAnsi="Sylfaen"/>
                <w:sz w:val="20"/>
              </w:rPr>
              <w:t>საჯარო</w:t>
            </w:r>
            <w:proofErr w:type="spellEnd"/>
            <w:r w:rsidRPr="00E958BB">
              <w:rPr>
                <w:rFonts w:ascii="Sylfaen" w:hAnsi="Sylfaen"/>
                <w:sz w:val="20"/>
              </w:rPr>
              <w:t xml:space="preserve"> </w:t>
            </w:r>
            <w:proofErr w:type="spellStart"/>
            <w:r w:rsidRPr="00E958BB">
              <w:rPr>
                <w:rFonts w:ascii="Sylfaen" w:hAnsi="Sylfaen"/>
                <w:sz w:val="20"/>
              </w:rPr>
              <w:t>სამართლის</w:t>
            </w:r>
            <w:proofErr w:type="spellEnd"/>
            <w:r w:rsidRPr="00E958BB">
              <w:rPr>
                <w:rFonts w:ascii="Sylfaen" w:hAnsi="Sylfaen"/>
                <w:sz w:val="20"/>
              </w:rPr>
              <w:t xml:space="preserve"> </w:t>
            </w:r>
            <w:proofErr w:type="spellStart"/>
            <w:r w:rsidRPr="00E958BB">
              <w:rPr>
                <w:rFonts w:ascii="Sylfaen" w:hAnsi="Sylfaen"/>
                <w:sz w:val="20"/>
              </w:rPr>
              <w:t>იურიდიული</w:t>
            </w:r>
            <w:proofErr w:type="spellEnd"/>
            <w:r w:rsidRPr="00E958BB">
              <w:rPr>
                <w:rFonts w:ascii="Sylfaen" w:hAnsi="Sylfaen"/>
                <w:sz w:val="20"/>
              </w:rPr>
              <w:t xml:space="preserve"> </w:t>
            </w:r>
            <w:proofErr w:type="spellStart"/>
            <w:r w:rsidRPr="00E958BB">
              <w:rPr>
                <w:rFonts w:ascii="Sylfaen" w:hAnsi="Sylfaen"/>
                <w:sz w:val="20"/>
              </w:rPr>
              <w:t>პირის</w:t>
            </w:r>
            <w:proofErr w:type="spellEnd"/>
            <w:r w:rsidRPr="00E958BB">
              <w:rPr>
                <w:rFonts w:ascii="Sylfaen" w:hAnsi="Sylfaen"/>
                <w:sz w:val="20"/>
              </w:rPr>
              <w:t xml:space="preserve"> </w:t>
            </w:r>
            <w:proofErr w:type="spellStart"/>
            <w:r w:rsidRPr="00E958BB">
              <w:rPr>
                <w:rFonts w:ascii="Sylfaen" w:hAnsi="Sylfaen"/>
                <w:sz w:val="20"/>
              </w:rPr>
              <w:t>შესახებ</w:t>
            </w:r>
            <w:proofErr w:type="spellEnd"/>
            <w:r w:rsidRPr="00E958BB">
              <w:rPr>
                <w:rFonts w:ascii="Sylfaen" w:hAnsi="Sylfaen"/>
                <w:sz w:val="20"/>
              </w:rPr>
              <w:t xml:space="preserve">“ </w:t>
            </w:r>
            <w:proofErr w:type="spellStart"/>
            <w:r w:rsidRPr="00E958BB">
              <w:rPr>
                <w:rFonts w:ascii="Sylfaen" w:hAnsi="Sylfaen"/>
                <w:sz w:val="20"/>
              </w:rPr>
              <w:t>საქართველოს</w:t>
            </w:r>
            <w:proofErr w:type="spellEnd"/>
            <w:r w:rsidRPr="00E958BB">
              <w:rPr>
                <w:rFonts w:ascii="Sylfaen" w:hAnsi="Sylfaen"/>
                <w:sz w:val="20"/>
              </w:rPr>
              <w:t xml:space="preserve"> </w:t>
            </w:r>
            <w:proofErr w:type="spellStart"/>
            <w:r w:rsidRPr="00E958BB">
              <w:rPr>
                <w:rFonts w:ascii="Sylfaen" w:hAnsi="Sylfaen"/>
                <w:sz w:val="20"/>
              </w:rPr>
              <w:t>კანონის</w:t>
            </w:r>
            <w:proofErr w:type="spellEnd"/>
            <w:r w:rsidRPr="00E958BB">
              <w:rPr>
                <w:rFonts w:ascii="Sylfaen" w:hAnsi="Sylfaen"/>
                <w:sz w:val="20"/>
              </w:rPr>
              <w:t xml:space="preserve"> მე-12 </w:t>
            </w:r>
            <w:proofErr w:type="spellStart"/>
            <w:r w:rsidRPr="00E958BB">
              <w:rPr>
                <w:rFonts w:ascii="Sylfaen" w:hAnsi="Sylfaen"/>
                <w:sz w:val="20"/>
              </w:rPr>
              <w:t>მუხლის</w:t>
            </w:r>
            <w:proofErr w:type="spellEnd"/>
            <w:r w:rsidRPr="00E958BB">
              <w:rPr>
                <w:rFonts w:ascii="Sylfaen" w:hAnsi="Sylfaen"/>
                <w:sz w:val="20"/>
              </w:rPr>
              <w:t xml:space="preserve"> მე-4 </w:t>
            </w:r>
            <w:proofErr w:type="spellStart"/>
            <w:r w:rsidRPr="00E958BB">
              <w:rPr>
                <w:rFonts w:ascii="Sylfaen" w:hAnsi="Sylfaen"/>
                <w:sz w:val="20"/>
              </w:rPr>
              <w:t>პუნქტით</w:t>
            </w:r>
            <w:proofErr w:type="spellEnd"/>
            <w:r w:rsidRPr="00E958BB">
              <w:rPr>
                <w:rFonts w:ascii="Sylfaen" w:hAnsi="Sylfaen"/>
                <w:sz w:val="20"/>
              </w:rPr>
              <w:t xml:space="preserve"> </w:t>
            </w:r>
            <w:proofErr w:type="spellStart"/>
            <w:r w:rsidRPr="00E958BB">
              <w:rPr>
                <w:rFonts w:ascii="Sylfaen" w:hAnsi="Sylfaen"/>
                <w:sz w:val="20"/>
              </w:rPr>
              <w:t>გათვალისწინებული</w:t>
            </w:r>
            <w:proofErr w:type="spellEnd"/>
            <w:r w:rsidRPr="00E958BB">
              <w:rPr>
                <w:rFonts w:ascii="Sylfaen" w:hAnsi="Sylfaen"/>
                <w:sz w:val="20"/>
              </w:rPr>
              <w:t xml:space="preserve"> </w:t>
            </w:r>
            <w:proofErr w:type="spellStart"/>
            <w:r w:rsidRPr="00E958BB">
              <w:rPr>
                <w:rFonts w:ascii="Sylfaen" w:hAnsi="Sylfaen"/>
                <w:sz w:val="20"/>
              </w:rPr>
              <w:t>ზოგიერთი</w:t>
            </w:r>
            <w:proofErr w:type="spellEnd"/>
            <w:r w:rsidRPr="00E958BB">
              <w:rPr>
                <w:rFonts w:ascii="Sylfaen" w:hAnsi="Sylfaen"/>
                <w:sz w:val="20"/>
              </w:rPr>
              <w:t xml:space="preserve"> </w:t>
            </w:r>
            <w:proofErr w:type="spellStart"/>
            <w:r w:rsidRPr="00E958BB">
              <w:rPr>
                <w:rFonts w:ascii="Sylfaen" w:hAnsi="Sylfaen"/>
                <w:sz w:val="20"/>
              </w:rPr>
              <w:t>საჯარო</w:t>
            </w:r>
            <w:proofErr w:type="spellEnd"/>
            <w:r w:rsidRPr="00E958BB">
              <w:rPr>
                <w:rFonts w:ascii="Sylfaen" w:hAnsi="Sylfaen"/>
                <w:sz w:val="20"/>
              </w:rPr>
              <w:t xml:space="preserve"> </w:t>
            </w:r>
            <w:proofErr w:type="spellStart"/>
            <w:r w:rsidRPr="00E958BB">
              <w:rPr>
                <w:rFonts w:ascii="Sylfaen" w:hAnsi="Sylfaen"/>
                <w:sz w:val="20"/>
              </w:rPr>
              <w:t>სამართლის</w:t>
            </w:r>
            <w:proofErr w:type="spellEnd"/>
            <w:r w:rsidRPr="00E958BB">
              <w:rPr>
                <w:rFonts w:ascii="Sylfaen" w:hAnsi="Sylfaen"/>
                <w:sz w:val="20"/>
              </w:rPr>
              <w:t xml:space="preserve"> </w:t>
            </w:r>
            <w:proofErr w:type="spellStart"/>
            <w:r w:rsidRPr="00E958BB">
              <w:rPr>
                <w:rFonts w:ascii="Sylfaen" w:hAnsi="Sylfaen"/>
                <w:sz w:val="20"/>
              </w:rPr>
              <w:t>იურიდიული</w:t>
            </w:r>
            <w:proofErr w:type="spellEnd"/>
            <w:r w:rsidRPr="00E958BB">
              <w:rPr>
                <w:rFonts w:ascii="Sylfaen" w:hAnsi="Sylfaen"/>
                <w:sz w:val="20"/>
              </w:rPr>
              <w:t xml:space="preserve"> </w:t>
            </w:r>
            <w:proofErr w:type="spellStart"/>
            <w:r w:rsidRPr="00E958BB">
              <w:rPr>
                <w:rFonts w:ascii="Sylfaen" w:hAnsi="Sylfaen"/>
                <w:sz w:val="20"/>
              </w:rPr>
              <w:t>პირის</w:t>
            </w:r>
            <w:proofErr w:type="spellEnd"/>
            <w:r w:rsidRPr="00E958BB">
              <w:rPr>
                <w:rFonts w:ascii="Sylfaen" w:hAnsi="Sylfaen"/>
                <w:sz w:val="20"/>
              </w:rPr>
              <w:t xml:space="preserve"> </w:t>
            </w:r>
            <w:proofErr w:type="spellStart"/>
            <w:r w:rsidRPr="00E958BB">
              <w:rPr>
                <w:rFonts w:ascii="Sylfaen" w:hAnsi="Sylfaen"/>
                <w:sz w:val="20"/>
              </w:rPr>
              <w:t>მიერ</w:t>
            </w:r>
            <w:proofErr w:type="spellEnd"/>
            <w:r w:rsidRPr="00E958BB">
              <w:rPr>
                <w:rFonts w:ascii="Sylfaen" w:hAnsi="Sylfaen"/>
                <w:sz w:val="20"/>
              </w:rPr>
              <w:t xml:space="preserve"> </w:t>
            </w:r>
            <w:proofErr w:type="spellStart"/>
            <w:r w:rsidRPr="00E958BB">
              <w:rPr>
                <w:rFonts w:ascii="Sylfaen" w:hAnsi="Sylfaen"/>
                <w:sz w:val="20"/>
              </w:rPr>
              <w:t>განსახორციელებელი</w:t>
            </w:r>
            <w:proofErr w:type="spellEnd"/>
            <w:r w:rsidRPr="00E958BB">
              <w:rPr>
                <w:rFonts w:ascii="Sylfaen" w:hAnsi="Sylfaen"/>
                <w:sz w:val="20"/>
              </w:rPr>
              <w:t xml:space="preserve"> </w:t>
            </w:r>
            <w:proofErr w:type="spellStart"/>
            <w:r w:rsidRPr="00E958BB">
              <w:rPr>
                <w:rFonts w:ascii="Sylfaen" w:hAnsi="Sylfaen"/>
                <w:sz w:val="20"/>
              </w:rPr>
              <w:t>ღონისძიებების</w:t>
            </w:r>
            <w:proofErr w:type="spellEnd"/>
            <w:r w:rsidRPr="00E958BB">
              <w:rPr>
                <w:rFonts w:ascii="Sylfaen" w:hAnsi="Sylfaen"/>
                <w:sz w:val="20"/>
              </w:rPr>
              <w:t xml:space="preserve"> </w:t>
            </w:r>
            <w:proofErr w:type="spellStart"/>
            <w:r w:rsidRPr="00E958BB">
              <w:rPr>
                <w:rFonts w:ascii="Sylfaen" w:hAnsi="Sylfaen"/>
                <w:sz w:val="20"/>
              </w:rPr>
              <w:t>შესახებ</w:t>
            </w:r>
            <w:proofErr w:type="spellEnd"/>
            <w:r w:rsidRPr="00E958BB">
              <w:rPr>
                <w:rFonts w:ascii="Sylfaen" w:hAnsi="Sylfaen"/>
                <w:sz w:val="20"/>
              </w:rPr>
              <w:t xml:space="preserve">“ </w:t>
            </w:r>
            <w:proofErr w:type="spellStart"/>
            <w:r w:rsidRPr="00E958BB">
              <w:rPr>
                <w:rFonts w:ascii="Sylfaen" w:hAnsi="Sylfaen"/>
                <w:sz w:val="20"/>
              </w:rPr>
              <w:t>საქართველოს</w:t>
            </w:r>
            <w:proofErr w:type="spellEnd"/>
            <w:r w:rsidRPr="00E958BB">
              <w:rPr>
                <w:rFonts w:ascii="Sylfaen" w:hAnsi="Sylfaen"/>
                <w:sz w:val="20"/>
              </w:rPr>
              <w:t xml:space="preserve"> </w:t>
            </w:r>
            <w:proofErr w:type="spellStart"/>
            <w:r w:rsidRPr="00E958BB">
              <w:rPr>
                <w:rFonts w:ascii="Sylfaen" w:hAnsi="Sylfaen"/>
                <w:sz w:val="20"/>
              </w:rPr>
              <w:t>მთავრობის</w:t>
            </w:r>
            <w:proofErr w:type="spellEnd"/>
            <w:r w:rsidRPr="00E958BB">
              <w:rPr>
                <w:rFonts w:ascii="Sylfaen" w:hAnsi="Sylfaen"/>
                <w:sz w:val="20"/>
              </w:rPr>
              <w:t xml:space="preserve"> 2021 </w:t>
            </w:r>
            <w:r w:rsidRPr="00E958BB">
              <w:rPr>
                <w:rFonts w:ascii="Sylfaen" w:hAnsi="Sylfaen"/>
                <w:sz w:val="20"/>
                <w:lang w:val="ka-GE"/>
              </w:rPr>
              <w:t>წლის 29 ნოემბრის №2098</w:t>
            </w:r>
            <w:r w:rsidRPr="00E958BB">
              <w:rPr>
                <w:rFonts w:ascii="Sylfaen" w:hAnsi="Sylfaen"/>
                <w:sz w:val="20"/>
              </w:rPr>
              <w:t xml:space="preserve"> </w:t>
            </w:r>
            <w:proofErr w:type="spellStart"/>
            <w:r w:rsidRPr="00E958BB">
              <w:rPr>
                <w:rFonts w:ascii="Sylfaen" w:hAnsi="Sylfaen"/>
                <w:sz w:val="20"/>
              </w:rPr>
              <w:t>განკარგულების</w:t>
            </w:r>
            <w:proofErr w:type="spellEnd"/>
            <w:r w:rsidRPr="00E958BB">
              <w:rPr>
                <w:rFonts w:ascii="Sylfaen" w:hAnsi="Sylfaen"/>
                <w:sz w:val="20"/>
              </w:rPr>
              <w:t xml:space="preserve"> </w:t>
            </w:r>
            <w:proofErr w:type="spellStart"/>
            <w:r w:rsidRPr="00E958BB">
              <w:rPr>
                <w:rFonts w:ascii="Sylfaen" w:hAnsi="Sylfaen"/>
                <w:sz w:val="20"/>
              </w:rPr>
              <w:t>საფუძველზე</w:t>
            </w:r>
            <w:proofErr w:type="spellEnd"/>
            <w:r w:rsidRPr="00E958BB">
              <w:rPr>
                <w:rFonts w:ascii="Sylfaen" w:hAnsi="Sylfaen"/>
                <w:sz w:val="20"/>
                <w:lang w:val="ka-GE"/>
              </w:rPr>
              <w:t>, ზოგიერთი საჯარო სამართლის იურიდიული პირის საკუთარ ანგარიშზე არსებული თავისუფალი ნაშთი -</w:t>
            </w:r>
            <w:r w:rsidRPr="00E958BB">
              <w:rPr>
                <w:rFonts w:ascii="Sylfaen" w:hAnsi="Sylfaen"/>
                <w:sz w:val="20"/>
              </w:rPr>
              <w:t xml:space="preserve"> 66.0 </w:t>
            </w:r>
            <w:proofErr w:type="spellStart"/>
            <w:r w:rsidRPr="00E958BB">
              <w:rPr>
                <w:rFonts w:ascii="Sylfaen" w:hAnsi="Sylfaen"/>
                <w:sz w:val="20"/>
              </w:rPr>
              <w:t>მლნ</w:t>
            </w:r>
            <w:proofErr w:type="spellEnd"/>
            <w:r w:rsidRPr="00E958BB">
              <w:rPr>
                <w:rFonts w:ascii="Sylfaen" w:hAnsi="Sylfaen"/>
                <w:sz w:val="20"/>
              </w:rPr>
              <w:t xml:space="preserve"> </w:t>
            </w:r>
            <w:proofErr w:type="spellStart"/>
            <w:r w:rsidRPr="00E958BB">
              <w:rPr>
                <w:rFonts w:ascii="Sylfaen" w:hAnsi="Sylfaen"/>
                <w:sz w:val="20"/>
              </w:rPr>
              <w:t>ლარი</w:t>
            </w:r>
            <w:proofErr w:type="spellEnd"/>
            <w:r w:rsidRPr="00E958BB">
              <w:rPr>
                <w:rFonts w:ascii="Sylfaen" w:hAnsi="Sylfaen"/>
                <w:sz w:val="20"/>
                <w:lang w:val="ka-GE"/>
              </w:rPr>
              <w:t>ს ოდენობით,</w:t>
            </w:r>
            <w:r w:rsidRPr="00E958BB">
              <w:rPr>
                <w:rFonts w:ascii="Sylfaen" w:hAnsi="Sylfaen"/>
                <w:sz w:val="20"/>
              </w:rPr>
              <w:t xml:space="preserve"> </w:t>
            </w:r>
            <w:proofErr w:type="spellStart"/>
            <w:r w:rsidRPr="00E958BB">
              <w:rPr>
                <w:rFonts w:ascii="Sylfaen" w:hAnsi="Sylfaen"/>
                <w:sz w:val="20"/>
              </w:rPr>
              <w:t>მიიმართა</w:t>
            </w:r>
            <w:proofErr w:type="spellEnd"/>
            <w:r w:rsidRPr="00E958BB">
              <w:rPr>
                <w:rFonts w:ascii="Sylfaen" w:hAnsi="Sylfaen"/>
                <w:sz w:val="20"/>
              </w:rPr>
              <w:t xml:space="preserve"> </w:t>
            </w:r>
            <w:proofErr w:type="spellStart"/>
            <w:r w:rsidRPr="00E958BB">
              <w:rPr>
                <w:rFonts w:ascii="Sylfaen" w:hAnsi="Sylfaen"/>
                <w:sz w:val="20"/>
              </w:rPr>
              <w:t>სახელმწიფო</w:t>
            </w:r>
            <w:proofErr w:type="spellEnd"/>
            <w:r w:rsidRPr="00E958BB">
              <w:rPr>
                <w:rFonts w:ascii="Sylfaen" w:hAnsi="Sylfaen"/>
                <w:sz w:val="20"/>
              </w:rPr>
              <w:t xml:space="preserve"> </w:t>
            </w:r>
            <w:proofErr w:type="spellStart"/>
            <w:r w:rsidRPr="00E958BB">
              <w:rPr>
                <w:rFonts w:ascii="Sylfaen" w:hAnsi="Sylfaen"/>
                <w:sz w:val="20"/>
              </w:rPr>
              <w:t>ბიუჯეტში</w:t>
            </w:r>
            <w:proofErr w:type="spellEnd"/>
            <w:r w:rsidRPr="00E958BB">
              <w:rPr>
                <w:rFonts w:ascii="Sylfaen" w:hAnsi="Sylfaen"/>
                <w:sz w:val="20"/>
              </w:rPr>
              <w:t xml:space="preserve"> „</w:t>
            </w:r>
            <w:proofErr w:type="spellStart"/>
            <w:r w:rsidRPr="00E958BB">
              <w:rPr>
                <w:rFonts w:ascii="Sylfaen" w:hAnsi="Sylfaen"/>
                <w:sz w:val="20"/>
              </w:rPr>
              <w:t>სახელმწიფო</w:t>
            </w:r>
            <w:proofErr w:type="spellEnd"/>
            <w:r w:rsidRPr="00E958BB">
              <w:rPr>
                <w:rFonts w:ascii="Sylfaen" w:hAnsi="Sylfaen"/>
                <w:sz w:val="20"/>
              </w:rPr>
              <w:t xml:space="preserve"> </w:t>
            </w:r>
            <w:proofErr w:type="spellStart"/>
            <w:r w:rsidRPr="00E958BB">
              <w:rPr>
                <w:rFonts w:ascii="Sylfaen" w:hAnsi="Sylfaen"/>
                <w:sz w:val="20"/>
              </w:rPr>
              <w:t>პროგრამის</w:t>
            </w:r>
            <w:proofErr w:type="spellEnd"/>
            <w:r w:rsidRPr="00E958BB">
              <w:rPr>
                <w:rFonts w:ascii="Sylfaen" w:hAnsi="Sylfaen"/>
                <w:sz w:val="20"/>
              </w:rPr>
              <w:t xml:space="preserve"> - „</w:t>
            </w:r>
            <w:proofErr w:type="spellStart"/>
            <w:r w:rsidRPr="00E958BB">
              <w:rPr>
                <w:rFonts w:ascii="Sylfaen" w:hAnsi="Sylfaen"/>
                <w:sz w:val="20"/>
              </w:rPr>
              <w:t>განახლებული</w:t>
            </w:r>
            <w:proofErr w:type="spellEnd"/>
            <w:r w:rsidRPr="00E958BB">
              <w:rPr>
                <w:rFonts w:ascii="Sylfaen" w:hAnsi="Sylfaen"/>
                <w:sz w:val="20"/>
              </w:rPr>
              <w:t xml:space="preserve"> </w:t>
            </w:r>
            <w:proofErr w:type="spellStart"/>
            <w:r w:rsidRPr="00E958BB">
              <w:rPr>
                <w:rFonts w:ascii="Sylfaen" w:hAnsi="Sylfaen"/>
                <w:sz w:val="20"/>
              </w:rPr>
              <w:t>რეგიონების</w:t>
            </w:r>
            <w:proofErr w:type="spellEnd"/>
            <w:r w:rsidRPr="00E958BB">
              <w:rPr>
                <w:rFonts w:ascii="Sylfaen" w:hAnsi="Sylfaen"/>
                <w:sz w:val="20"/>
              </w:rPr>
              <w:t xml:space="preserve">“ </w:t>
            </w:r>
            <w:proofErr w:type="spellStart"/>
            <w:r w:rsidRPr="00E958BB">
              <w:rPr>
                <w:rFonts w:ascii="Sylfaen" w:hAnsi="Sylfaen"/>
                <w:sz w:val="20"/>
              </w:rPr>
              <w:t>დამტკიცების</w:t>
            </w:r>
            <w:proofErr w:type="spellEnd"/>
            <w:r w:rsidRPr="00E958BB">
              <w:rPr>
                <w:rFonts w:ascii="Sylfaen" w:hAnsi="Sylfaen"/>
                <w:sz w:val="20"/>
              </w:rPr>
              <w:t xml:space="preserve"> </w:t>
            </w:r>
            <w:proofErr w:type="spellStart"/>
            <w:r w:rsidRPr="00E958BB">
              <w:rPr>
                <w:rFonts w:ascii="Sylfaen" w:hAnsi="Sylfaen"/>
                <w:sz w:val="20"/>
              </w:rPr>
              <w:t>შესახებ</w:t>
            </w:r>
            <w:proofErr w:type="spellEnd"/>
            <w:r w:rsidRPr="00E958BB">
              <w:rPr>
                <w:rFonts w:ascii="Sylfaen" w:hAnsi="Sylfaen"/>
                <w:sz w:val="20"/>
              </w:rPr>
              <w:t xml:space="preserve">“ </w:t>
            </w:r>
            <w:proofErr w:type="spellStart"/>
            <w:r w:rsidRPr="00E958BB">
              <w:rPr>
                <w:rFonts w:ascii="Sylfaen" w:hAnsi="Sylfaen"/>
                <w:sz w:val="20"/>
              </w:rPr>
              <w:t>საქართველოს</w:t>
            </w:r>
            <w:proofErr w:type="spellEnd"/>
            <w:r w:rsidRPr="00E958BB">
              <w:rPr>
                <w:rFonts w:ascii="Sylfaen" w:hAnsi="Sylfaen"/>
                <w:sz w:val="20"/>
              </w:rPr>
              <w:t xml:space="preserve"> </w:t>
            </w:r>
            <w:proofErr w:type="spellStart"/>
            <w:r w:rsidRPr="00E958BB">
              <w:rPr>
                <w:rFonts w:ascii="Sylfaen" w:hAnsi="Sylfaen"/>
                <w:sz w:val="20"/>
              </w:rPr>
              <w:t>მთავრობის</w:t>
            </w:r>
            <w:proofErr w:type="spellEnd"/>
            <w:r w:rsidRPr="00E958BB">
              <w:rPr>
                <w:rFonts w:ascii="Sylfaen" w:hAnsi="Sylfaen"/>
                <w:sz w:val="20"/>
              </w:rPr>
              <w:t xml:space="preserve"> 2021 </w:t>
            </w:r>
            <w:proofErr w:type="spellStart"/>
            <w:r w:rsidRPr="00E958BB">
              <w:rPr>
                <w:rFonts w:ascii="Sylfaen" w:hAnsi="Sylfaen"/>
                <w:sz w:val="20"/>
              </w:rPr>
              <w:t>წლის</w:t>
            </w:r>
            <w:proofErr w:type="spellEnd"/>
            <w:r w:rsidRPr="00E958BB">
              <w:rPr>
                <w:rFonts w:ascii="Sylfaen" w:hAnsi="Sylfaen"/>
                <w:sz w:val="20"/>
              </w:rPr>
              <w:t xml:space="preserve"> 26 </w:t>
            </w:r>
            <w:proofErr w:type="spellStart"/>
            <w:r w:rsidRPr="00E958BB">
              <w:rPr>
                <w:rFonts w:ascii="Sylfaen" w:hAnsi="Sylfaen"/>
                <w:sz w:val="20"/>
              </w:rPr>
              <w:t>აპრილის</w:t>
            </w:r>
            <w:proofErr w:type="spellEnd"/>
            <w:r w:rsidRPr="00E958BB">
              <w:rPr>
                <w:rFonts w:ascii="Sylfaen" w:hAnsi="Sylfaen"/>
                <w:sz w:val="20"/>
              </w:rPr>
              <w:t xml:space="preserve"> №185 </w:t>
            </w:r>
            <w:proofErr w:type="spellStart"/>
            <w:r w:rsidRPr="00E958BB">
              <w:rPr>
                <w:rFonts w:ascii="Sylfaen" w:hAnsi="Sylfaen"/>
                <w:sz w:val="20"/>
              </w:rPr>
              <w:t>დადგენილების</w:t>
            </w:r>
            <w:proofErr w:type="spellEnd"/>
            <w:r w:rsidRPr="00E958BB">
              <w:rPr>
                <w:rFonts w:ascii="Sylfaen" w:hAnsi="Sylfaen"/>
                <w:sz w:val="20"/>
              </w:rPr>
              <w:t xml:space="preserve"> მე-2 </w:t>
            </w:r>
            <w:proofErr w:type="spellStart"/>
            <w:r w:rsidRPr="00E958BB">
              <w:rPr>
                <w:rFonts w:ascii="Sylfaen" w:hAnsi="Sylfaen"/>
                <w:sz w:val="20"/>
              </w:rPr>
              <w:t>მუხლის</w:t>
            </w:r>
            <w:proofErr w:type="spellEnd"/>
            <w:r w:rsidRPr="00E958BB">
              <w:rPr>
                <w:rFonts w:ascii="Sylfaen" w:hAnsi="Sylfaen"/>
                <w:sz w:val="20"/>
              </w:rPr>
              <w:t xml:space="preserve"> „ბ“ </w:t>
            </w:r>
            <w:proofErr w:type="spellStart"/>
            <w:r w:rsidRPr="00E958BB">
              <w:rPr>
                <w:rFonts w:ascii="Sylfaen" w:hAnsi="Sylfaen"/>
                <w:sz w:val="20"/>
              </w:rPr>
              <w:t>ქვეპუნქტის</w:t>
            </w:r>
            <w:proofErr w:type="spellEnd"/>
            <w:r w:rsidRPr="00E958BB">
              <w:rPr>
                <w:rFonts w:ascii="Sylfaen" w:hAnsi="Sylfaen"/>
                <w:sz w:val="20"/>
              </w:rPr>
              <w:t xml:space="preserve"> </w:t>
            </w:r>
            <w:r w:rsidRPr="00E958BB">
              <w:rPr>
                <w:rFonts w:ascii="Sylfaen" w:hAnsi="Sylfaen"/>
                <w:sz w:val="20"/>
                <w:lang w:val="ka-GE"/>
              </w:rPr>
              <w:t>შესაბამისად.</w:t>
            </w:r>
            <w:proofErr w:type="gramEnd"/>
          </w:p>
        </w:tc>
      </w:tr>
    </w:tbl>
    <w:p w:rsidR="00705573" w:rsidRPr="00F71C77" w:rsidRDefault="00705573" w:rsidP="001A09ED">
      <w:pPr>
        <w:spacing w:line="276" w:lineRule="auto"/>
        <w:jc w:val="both"/>
        <w:rPr>
          <w:rFonts w:ascii="Sylfaen" w:hAnsi="Sylfaen"/>
        </w:rPr>
      </w:pPr>
    </w:p>
    <w:sectPr w:rsidR="00705573" w:rsidRPr="00F71C77" w:rsidSect="00905614">
      <w:footerReference w:type="default" r:id="rId12"/>
      <w:pgSz w:w="15840" w:h="12240" w:orient="landscape"/>
      <w:pgMar w:top="630" w:right="1440" w:bottom="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F54" w:rsidRDefault="00C95F54" w:rsidP="00705573">
      <w:pPr>
        <w:spacing w:after="0" w:line="240" w:lineRule="auto"/>
      </w:pPr>
      <w:r>
        <w:separator/>
      </w:r>
    </w:p>
  </w:endnote>
  <w:endnote w:type="continuationSeparator" w:id="0">
    <w:p w:rsidR="00C95F54" w:rsidRDefault="00C95F54" w:rsidP="00705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020792"/>
      <w:docPartObj>
        <w:docPartGallery w:val="Page Numbers (Bottom of Page)"/>
        <w:docPartUnique/>
      </w:docPartObj>
    </w:sdtPr>
    <w:sdtEndPr>
      <w:rPr>
        <w:noProof/>
      </w:rPr>
    </w:sdtEndPr>
    <w:sdtContent>
      <w:p w:rsidR="00E958BB" w:rsidRDefault="00E958BB">
        <w:pPr>
          <w:pStyle w:val="Footer"/>
          <w:jc w:val="right"/>
        </w:pPr>
        <w:r>
          <w:fldChar w:fldCharType="begin"/>
        </w:r>
        <w:r>
          <w:instrText xml:space="preserve"> PAGE   \* MERGEFORMAT </w:instrText>
        </w:r>
        <w:r>
          <w:fldChar w:fldCharType="separate"/>
        </w:r>
        <w:r w:rsidR="00094595">
          <w:rPr>
            <w:noProof/>
          </w:rPr>
          <w:t>2</w:t>
        </w:r>
        <w:r>
          <w:rPr>
            <w:noProof/>
          </w:rPr>
          <w:fldChar w:fldCharType="end"/>
        </w:r>
      </w:p>
    </w:sdtContent>
  </w:sdt>
  <w:p w:rsidR="00572FC6" w:rsidRDefault="00572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F54" w:rsidRDefault="00C95F54" w:rsidP="00705573">
      <w:pPr>
        <w:spacing w:after="0" w:line="240" w:lineRule="auto"/>
      </w:pPr>
      <w:r>
        <w:separator/>
      </w:r>
    </w:p>
  </w:footnote>
  <w:footnote w:type="continuationSeparator" w:id="0">
    <w:p w:rsidR="00C95F54" w:rsidRDefault="00C95F54" w:rsidP="007055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B78"/>
    <w:multiLevelType w:val="hybridMultilevel"/>
    <w:tmpl w:val="CE7E47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CC2EB6"/>
    <w:multiLevelType w:val="hybridMultilevel"/>
    <w:tmpl w:val="496E80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491D96"/>
    <w:multiLevelType w:val="hybridMultilevel"/>
    <w:tmpl w:val="5096F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DE12AD"/>
    <w:multiLevelType w:val="hybridMultilevel"/>
    <w:tmpl w:val="57C6A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67498"/>
    <w:multiLevelType w:val="hybridMultilevel"/>
    <w:tmpl w:val="5764FC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0071B"/>
    <w:multiLevelType w:val="hybridMultilevel"/>
    <w:tmpl w:val="948C3C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DE6A07"/>
    <w:multiLevelType w:val="hybridMultilevel"/>
    <w:tmpl w:val="D494C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1100B"/>
    <w:multiLevelType w:val="hybridMultilevel"/>
    <w:tmpl w:val="2820A0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D920E4C"/>
    <w:multiLevelType w:val="hybridMultilevel"/>
    <w:tmpl w:val="42A4E0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671755"/>
    <w:multiLevelType w:val="hybridMultilevel"/>
    <w:tmpl w:val="90D827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DA1A38"/>
    <w:multiLevelType w:val="hybridMultilevel"/>
    <w:tmpl w:val="1FF20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A05F2D"/>
    <w:multiLevelType w:val="hybridMultilevel"/>
    <w:tmpl w:val="0592118C"/>
    <w:lvl w:ilvl="0" w:tplc="F25A16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3662B7"/>
    <w:multiLevelType w:val="hybridMultilevel"/>
    <w:tmpl w:val="82904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DA5CE1"/>
    <w:multiLevelType w:val="hybridMultilevel"/>
    <w:tmpl w:val="F104B89E"/>
    <w:lvl w:ilvl="0" w:tplc="1AC8C4C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93B5847"/>
    <w:multiLevelType w:val="hybridMultilevel"/>
    <w:tmpl w:val="E01C456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3FA14B1E"/>
    <w:multiLevelType w:val="hybridMultilevel"/>
    <w:tmpl w:val="0310B7FE"/>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9157A09"/>
    <w:multiLevelType w:val="hybridMultilevel"/>
    <w:tmpl w:val="1EA297C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49EE6279"/>
    <w:multiLevelType w:val="hybridMultilevel"/>
    <w:tmpl w:val="D152F39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4CE81418"/>
    <w:multiLevelType w:val="hybridMultilevel"/>
    <w:tmpl w:val="386A8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EA55512"/>
    <w:multiLevelType w:val="hybridMultilevel"/>
    <w:tmpl w:val="EBEA2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F00F82"/>
    <w:multiLevelType w:val="hybridMultilevel"/>
    <w:tmpl w:val="31DAD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780C58"/>
    <w:multiLevelType w:val="hybridMultilevel"/>
    <w:tmpl w:val="8B88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35682B"/>
    <w:multiLevelType w:val="hybridMultilevel"/>
    <w:tmpl w:val="CC0EB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57A4DD2"/>
    <w:multiLevelType w:val="hybridMultilevel"/>
    <w:tmpl w:val="79BED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30015D"/>
    <w:multiLevelType w:val="hybridMultilevel"/>
    <w:tmpl w:val="48C41A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04B495C"/>
    <w:multiLevelType w:val="hybridMultilevel"/>
    <w:tmpl w:val="E3666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437005"/>
    <w:multiLevelType w:val="hybridMultilevel"/>
    <w:tmpl w:val="8FB0EF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18250BC"/>
    <w:multiLevelType w:val="hybridMultilevel"/>
    <w:tmpl w:val="002C110A"/>
    <w:lvl w:ilvl="0" w:tplc="0409000F">
      <w:start w:val="1"/>
      <w:numFmt w:val="decimal"/>
      <w:lvlText w:val="%1."/>
      <w:lvlJc w:val="left"/>
      <w:pPr>
        <w:ind w:left="1313" w:hanging="360"/>
      </w:pPr>
    </w:lvl>
    <w:lvl w:ilvl="1" w:tplc="04090019" w:tentative="1">
      <w:start w:val="1"/>
      <w:numFmt w:val="lowerLetter"/>
      <w:lvlText w:val="%2."/>
      <w:lvlJc w:val="left"/>
      <w:pPr>
        <w:ind w:left="2033" w:hanging="360"/>
      </w:pPr>
    </w:lvl>
    <w:lvl w:ilvl="2" w:tplc="0409001B" w:tentative="1">
      <w:start w:val="1"/>
      <w:numFmt w:val="lowerRoman"/>
      <w:lvlText w:val="%3."/>
      <w:lvlJc w:val="right"/>
      <w:pPr>
        <w:ind w:left="2753" w:hanging="180"/>
      </w:pPr>
    </w:lvl>
    <w:lvl w:ilvl="3" w:tplc="0409000F" w:tentative="1">
      <w:start w:val="1"/>
      <w:numFmt w:val="decimal"/>
      <w:lvlText w:val="%4."/>
      <w:lvlJc w:val="left"/>
      <w:pPr>
        <w:ind w:left="3473" w:hanging="360"/>
      </w:pPr>
    </w:lvl>
    <w:lvl w:ilvl="4" w:tplc="04090019" w:tentative="1">
      <w:start w:val="1"/>
      <w:numFmt w:val="lowerLetter"/>
      <w:lvlText w:val="%5."/>
      <w:lvlJc w:val="left"/>
      <w:pPr>
        <w:ind w:left="4193" w:hanging="360"/>
      </w:pPr>
    </w:lvl>
    <w:lvl w:ilvl="5" w:tplc="0409001B" w:tentative="1">
      <w:start w:val="1"/>
      <w:numFmt w:val="lowerRoman"/>
      <w:lvlText w:val="%6."/>
      <w:lvlJc w:val="right"/>
      <w:pPr>
        <w:ind w:left="4913" w:hanging="180"/>
      </w:pPr>
    </w:lvl>
    <w:lvl w:ilvl="6" w:tplc="0409000F" w:tentative="1">
      <w:start w:val="1"/>
      <w:numFmt w:val="decimal"/>
      <w:lvlText w:val="%7."/>
      <w:lvlJc w:val="left"/>
      <w:pPr>
        <w:ind w:left="5633" w:hanging="360"/>
      </w:pPr>
    </w:lvl>
    <w:lvl w:ilvl="7" w:tplc="04090019" w:tentative="1">
      <w:start w:val="1"/>
      <w:numFmt w:val="lowerLetter"/>
      <w:lvlText w:val="%8."/>
      <w:lvlJc w:val="left"/>
      <w:pPr>
        <w:ind w:left="6353" w:hanging="360"/>
      </w:pPr>
    </w:lvl>
    <w:lvl w:ilvl="8" w:tplc="0409001B" w:tentative="1">
      <w:start w:val="1"/>
      <w:numFmt w:val="lowerRoman"/>
      <w:lvlText w:val="%9."/>
      <w:lvlJc w:val="right"/>
      <w:pPr>
        <w:ind w:left="7073" w:hanging="180"/>
      </w:pPr>
    </w:lvl>
  </w:abstractNum>
  <w:abstractNum w:abstractNumId="28" w15:restartNumberingAfterBreak="0">
    <w:nsid w:val="72F97875"/>
    <w:multiLevelType w:val="hybridMultilevel"/>
    <w:tmpl w:val="E51AAF00"/>
    <w:lvl w:ilvl="0" w:tplc="1AC8C4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FA3D1A"/>
    <w:multiLevelType w:val="hybridMultilevel"/>
    <w:tmpl w:val="C39E022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15:restartNumberingAfterBreak="0">
    <w:nsid w:val="77652463"/>
    <w:multiLevelType w:val="hybridMultilevel"/>
    <w:tmpl w:val="26E8F2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2625DA"/>
    <w:multiLevelType w:val="hybridMultilevel"/>
    <w:tmpl w:val="EE223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C33C00"/>
    <w:multiLevelType w:val="hybridMultilevel"/>
    <w:tmpl w:val="F814A3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BD87028"/>
    <w:multiLevelType w:val="hybridMultilevel"/>
    <w:tmpl w:val="2132F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7F1EEE"/>
    <w:multiLevelType w:val="hybridMultilevel"/>
    <w:tmpl w:val="788C0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F425787"/>
    <w:multiLevelType w:val="hybridMultilevel"/>
    <w:tmpl w:val="8E90AD3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1"/>
  </w:num>
  <w:num w:numId="2">
    <w:abstractNumId w:val="29"/>
  </w:num>
  <w:num w:numId="3">
    <w:abstractNumId w:val="18"/>
  </w:num>
  <w:num w:numId="4">
    <w:abstractNumId w:val="32"/>
  </w:num>
  <w:num w:numId="5">
    <w:abstractNumId w:val="7"/>
  </w:num>
  <w:num w:numId="6">
    <w:abstractNumId w:val="23"/>
  </w:num>
  <w:num w:numId="7">
    <w:abstractNumId w:val="6"/>
  </w:num>
  <w:num w:numId="8">
    <w:abstractNumId w:val="20"/>
  </w:num>
  <w:num w:numId="9">
    <w:abstractNumId w:val="17"/>
  </w:num>
  <w:num w:numId="10">
    <w:abstractNumId w:val="13"/>
  </w:num>
  <w:num w:numId="11">
    <w:abstractNumId w:val="12"/>
  </w:num>
  <w:num w:numId="12">
    <w:abstractNumId w:val="0"/>
  </w:num>
  <w:num w:numId="13">
    <w:abstractNumId w:val="26"/>
  </w:num>
  <w:num w:numId="14">
    <w:abstractNumId w:val="2"/>
  </w:num>
  <w:num w:numId="15">
    <w:abstractNumId w:val="15"/>
  </w:num>
  <w:num w:numId="16">
    <w:abstractNumId w:val="10"/>
  </w:num>
  <w:num w:numId="17">
    <w:abstractNumId w:val="25"/>
  </w:num>
  <w:num w:numId="18">
    <w:abstractNumId w:val="4"/>
  </w:num>
  <w:num w:numId="19">
    <w:abstractNumId w:val="27"/>
  </w:num>
  <w:num w:numId="20">
    <w:abstractNumId w:val="34"/>
  </w:num>
  <w:num w:numId="21">
    <w:abstractNumId w:val="28"/>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3"/>
  </w:num>
  <w:num w:numId="25">
    <w:abstractNumId w:val="16"/>
  </w:num>
  <w:num w:numId="26">
    <w:abstractNumId w:val="14"/>
  </w:num>
  <w:num w:numId="27">
    <w:abstractNumId w:val="31"/>
  </w:num>
  <w:num w:numId="28">
    <w:abstractNumId w:val="35"/>
  </w:num>
  <w:num w:numId="29">
    <w:abstractNumId w:val="1"/>
  </w:num>
  <w:num w:numId="30">
    <w:abstractNumId w:val="11"/>
  </w:num>
  <w:num w:numId="31">
    <w:abstractNumId w:val="5"/>
  </w:num>
  <w:num w:numId="32">
    <w:abstractNumId w:val="8"/>
  </w:num>
  <w:num w:numId="33">
    <w:abstractNumId w:val="9"/>
  </w:num>
  <w:num w:numId="34">
    <w:abstractNumId w:val="33"/>
  </w:num>
  <w:num w:numId="35">
    <w:abstractNumId w:val="30"/>
  </w:num>
  <w:num w:numId="36">
    <w:abstractNumId w:val="22"/>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573"/>
    <w:rsid w:val="00013097"/>
    <w:rsid w:val="0001610E"/>
    <w:rsid w:val="00017410"/>
    <w:rsid w:val="0001749E"/>
    <w:rsid w:val="00035B01"/>
    <w:rsid w:val="00050F16"/>
    <w:rsid w:val="000562E5"/>
    <w:rsid w:val="00061FDF"/>
    <w:rsid w:val="000648E9"/>
    <w:rsid w:val="0006777A"/>
    <w:rsid w:val="000750F8"/>
    <w:rsid w:val="000752A0"/>
    <w:rsid w:val="00077E50"/>
    <w:rsid w:val="00085782"/>
    <w:rsid w:val="000917D1"/>
    <w:rsid w:val="00094595"/>
    <w:rsid w:val="000B71DE"/>
    <w:rsid w:val="000C444E"/>
    <w:rsid w:val="000D1C97"/>
    <w:rsid w:val="000E0338"/>
    <w:rsid w:val="00101EDE"/>
    <w:rsid w:val="00103885"/>
    <w:rsid w:val="00110074"/>
    <w:rsid w:val="00113741"/>
    <w:rsid w:val="00122D9F"/>
    <w:rsid w:val="00143868"/>
    <w:rsid w:val="00143B70"/>
    <w:rsid w:val="00162140"/>
    <w:rsid w:val="0016530B"/>
    <w:rsid w:val="00170C09"/>
    <w:rsid w:val="00171601"/>
    <w:rsid w:val="00180E65"/>
    <w:rsid w:val="00181187"/>
    <w:rsid w:val="001940C3"/>
    <w:rsid w:val="001A09ED"/>
    <w:rsid w:val="001A1E57"/>
    <w:rsid w:val="001A4E25"/>
    <w:rsid w:val="001A7579"/>
    <w:rsid w:val="001B1116"/>
    <w:rsid w:val="001B3167"/>
    <w:rsid w:val="001B62AE"/>
    <w:rsid w:val="001B71F1"/>
    <w:rsid w:val="001C3138"/>
    <w:rsid w:val="001C3C69"/>
    <w:rsid w:val="001C6386"/>
    <w:rsid w:val="001D4B5D"/>
    <w:rsid w:val="001E676B"/>
    <w:rsid w:val="001E7961"/>
    <w:rsid w:val="001F043B"/>
    <w:rsid w:val="001F4130"/>
    <w:rsid w:val="0022475A"/>
    <w:rsid w:val="00225579"/>
    <w:rsid w:val="00234F4A"/>
    <w:rsid w:val="00236486"/>
    <w:rsid w:val="002372B1"/>
    <w:rsid w:val="002423F6"/>
    <w:rsid w:val="00243193"/>
    <w:rsid w:val="002449E8"/>
    <w:rsid w:val="00250DD3"/>
    <w:rsid w:val="002657B6"/>
    <w:rsid w:val="00271B87"/>
    <w:rsid w:val="00274E51"/>
    <w:rsid w:val="00275C50"/>
    <w:rsid w:val="0028333C"/>
    <w:rsid w:val="002836D7"/>
    <w:rsid w:val="0028627C"/>
    <w:rsid w:val="0028670E"/>
    <w:rsid w:val="002A5332"/>
    <w:rsid w:val="002A5E3E"/>
    <w:rsid w:val="002B046F"/>
    <w:rsid w:val="002B2C24"/>
    <w:rsid w:val="002C3289"/>
    <w:rsid w:val="002C41D6"/>
    <w:rsid w:val="002D2744"/>
    <w:rsid w:val="002D3050"/>
    <w:rsid w:val="002D7472"/>
    <w:rsid w:val="002F27C0"/>
    <w:rsid w:val="002F6841"/>
    <w:rsid w:val="00302B96"/>
    <w:rsid w:val="00306F54"/>
    <w:rsid w:val="00312180"/>
    <w:rsid w:val="00315BE5"/>
    <w:rsid w:val="00322741"/>
    <w:rsid w:val="00332D30"/>
    <w:rsid w:val="00333E48"/>
    <w:rsid w:val="0034423D"/>
    <w:rsid w:val="00354248"/>
    <w:rsid w:val="00355ADB"/>
    <w:rsid w:val="0036433D"/>
    <w:rsid w:val="00364ECF"/>
    <w:rsid w:val="00367FE7"/>
    <w:rsid w:val="00381E20"/>
    <w:rsid w:val="003840D9"/>
    <w:rsid w:val="003930B0"/>
    <w:rsid w:val="003A528F"/>
    <w:rsid w:val="003B0E78"/>
    <w:rsid w:val="003B2AB3"/>
    <w:rsid w:val="003B54D1"/>
    <w:rsid w:val="003D201E"/>
    <w:rsid w:val="003E30D6"/>
    <w:rsid w:val="003E6406"/>
    <w:rsid w:val="003F48BF"/>
    <w:rsid w:val="00404FC6"/>
    <w:rsid w:val="004131B0"/>
    <w:rsid w:val="00413518"/>
    <w:rsid w:val="004304F3"/>
    <w:rsid w:val="004338D7"/>
    <w:rsid w:val="00454521"/>
    <w:rsid w:val="0045534C"/>
    <w:rsid w:val="0046591E"/>
    <w:rsid w:val="004713B7"/>
    <w:rsid w:val="004915E8"/>
    <w:rsid w:val="004947DB"/>
    <w:rsid w:val="004A156B"/>
    <w:rsid w:val="004D39DD"/>
    <w:rsid w:val="004D46B2"/>
    <w:rsid w:val="004D6838"/>
    <w:rsid w:val="004D683D"/>
    <w:rsid w:val="004E740B"/>
    <w:rsid w:val="004F18DA"/>
    <w:rsid w:val="004F50EC"/>
    <w:rsid w:val="004F57C3"/>
    <w:rsid w:val="004F605E"/>
    <w:rsid w:val="004F60FF"/>
    <w:rsid w:val="004F7546"/>
    <w:rsid w:val="00505B34"/>
    <w:rsid w:val="0052326E"/>
    <w:rsid w:val="0056262D"/>
    <w:rsid w:val="005630B6"/>
    <w:rsid w:val="00567C01"/>
    <w:rsid w:val="00572FC6"/>
    <w:rsid w:val="00591535"/>
    <w:rsid w:val="005A2088"/>
    <w:rsid w:val="005B0AA1"/>
    <w:rsid w:val="005C3CB5"/>
    <w:rsid w:val="005C47F1"/>
    <w:rsid w:val="005E1CFC"/>
    <w:rsid w:val="005E4990"/>
    <w:rsid w:val="005E6061"/>
    <w:rsid w:val="006008D4"/>
    <w:rsid w:val="00614F40"/>
    <w:rsid w:val="00632529"/>
    <w:rsid w:val="00635DE5"/>
    <w:rsid w:val="00640ADD"/>
    <w:rsid w:val="0064745F"/>
    <w:rsid w:val="00662BA2"/>
    <w:rsid w:val="00665F94"/>
    <w:rsid w:val="00667561"/>
    <w:rsid w:val="00675BB8"/>
    <w:rsid w:val="00676787"/>
    <w:rsid w:val="006855A1"/>
    <w:rsid w:val="006A1697"/>
    <w:rsid w:val="006A2C85"/>
    <w:rsid w:val="006A598A"/>
    <w:rsid w:val="006B048A"/>
    <w:rsid w:val="006B661B"/>
    <w:rsid w:val="006C12F7"/>
    <w:rsid w:val="006E24B3"/>
    <w:rsid w:val="006E37DB"/>
    <w:rsid w:val="00705573"/>
    <w:rsid w:val="007056B4"/>
    <w:rsid w:val="0070722C"/>
    <w:rsid w:val="007073EC"/>
    <w:rsid w:val="00720009"/>
    <w:rsid w:val="007219CC"/>
    <w:rsid w:val="00730CE8"/>
    <w:rsid w:val="007351C6"/>
    <w:rsid w:val="007543AA"/>
    <w:rsid w:val="00756459"/>
    <w:rsid w:val="00765AB6"/>
    <w:rsid w:val="00770444"/>
    <w:rsid w:val="007722D9"/>
    <w:rsid w:val="00777CC9"/>
    <w:rsid w:val="00782F29"/>
    <w:rsid w:val="00787C3B"/>
    <w:rsid w:val="0079128F"/>
    <w:rsid w:val="007A06D6"/>
    <w:rsid w:val="007A43D0"/>
    <w:rsid w:val="007A5915"/>
    <w:rsid w:val="007C4C29"/>
    <w:rsid w:val="007C5DCC"/>
    <w:rsid w:val="007C6DA8"/>
    <w:rsid w:val="007D447A"/>
    <w:rsid w:val="007E618E"/>
    <w:rsid w:val="007F2F64"/>
    <w:rsid w:val="008003FC"/>
    <w:rsid w:val="008026B9"/>
    <w:rsid w:val="00817FC0"/>
    <w:rsid w:val="008421B5"/>
    <w:rsid w:val="0085119C"/>
    <w:rsid w:val="0086087A"/>
    <w:rsid w:val="0086194D"/>
    <w:rsid w:val="00866539"/>
    <w:rsid w:val="00870C59"/>
    <w:rsid w:val="00871D39"/>
    <w:rsid w:val="00872D57"/>
    <w:rsid w:val="00873C03"/>
    <w:rsid w:val="00886FA6"/>
    <w:rsid w:val="008963BA"/>
    <w:rsid w:val="008A0FFB"/>
    <w:rsid w:val="008A18CA"/>
    <w:rsid w:val="008A2244"/>
    <w:rsid w:val="008A24AA"/>
    <w:rsid w:val="008A3EBF"/>
    <w:rsid w:val="008A660B"/>
    <w:rsid w:val="008B0F39"/>
    <w:rsid w:val="008B27C7"/>
    <w:rsid w:val="008B31C3"/>
    <w:rsid w:val="008C16B0"/>
    <w:rsid w:val="008C184F"/>
    <w:rsid w:val="008C21A3"/>
    <w:rsid w:val="008D3385"/>
    <w:rsid w:val="008F0DC4"/>
    <w:rsid w:val="008F32BE"/>
    <w:rsid w:val="00905614"/>
    <w:rsid w:val="00907BE0"/>
    <w:rsid w:val="009108A6"/>
    <w:rsid w:val="009162BB"/>
    <w:rsid w:val="009172E4"/>
    <w:rsid w:val="00924B09"/>
    <w:rsid w:val="0092694D"/>
    <w:rsid w:val="009354DF"/>
    <w:rsid w:val="00955912"/>
    <w:rsid w:val="00955B51"/>
    <w:rsid w:val="00957078"/>
    <w:rsid w:val="009624D5"/>
    <w:rsid w:val="00967D11"/>
    <w:rsid w:val="00992F5E"/>
    <w:rsid w:val="009A2C24"/>
    <w:rsid w:val="009B0054"/>
    <w:rsid w:val="009B36EF"/>
    <w:rsid w:val="009B376F"/>
    <w:rsid w:val="009B59DC"/>
    <w:rsid w:val="009C2479"/>
    <w:rsid w:val="009D37C7"/>
    <w:rsid w:val="009D517E"/>
    <w:rsid w:val="009D521F"/>
    <w:rsid w:val="009E5551"/>
    <w:rsid w:val="009F51AD"/>
    <w:rsid w:val="00A1117D"/>
    <w:rsid w:val="00A228EC"/>
    <w:rsid w:val="00A36854"/>
    <w:rsid w:val="00A47703"/>
    <w:rsid w:val="00A522A0"/>
    <w:rsid w:val="00A610CB"/>
    <w:rsid w:val="00A6680E"/>
    <w:rsid w:val="00A67C18"/>
    <w:rsid w:val="00A70167"/>
    <w:rsid w:val="00A718DC"/>
    <w:rsid w:val="00A77D98"/>
    <w:rsid w:val="00A83301"/>
    <w:rsid w:val="00A9106F"/>
    <w:rsid w:val="00AB0540"/>
    <w:rsid w:val="00AB0623"/>
    <w:rsid w:val="00AB2DFE"/>
    <w:rsid w:val="00AC4DD6"/>
    <w:rsid w:val="00AD10E5"/>
    <w:rsid w:val="00AD46E4"/>
    <w:rsid w:val="00AD521D"/>
    <w:rsid w:val="00AE0A1B"/>
    <w:rsid w:val="00AE1AFD"/>
    <w:rsid w:val="00AE3B5D"/>
    <w:rsid w:val="00AF295B"/>
    <w:rsid w:val="00AF647D"/>
    <w:rsid w:val="00AF6663"/>
    <w:rsid w:val="00AF71DD"/>
    <w:rsid w:val="00B00336"/>
    <w:rsid w:val="00B00FF9"/>
    <w:rsid w:val="00B03E35"/>
    <w:rsid w:val="00B0704F"/>
    <w:rsid w:val="00B11DB3"/>
    <w:rsid w:val="00B1420C"/>
    <w:rsid w:val="00B2028B"/>
    <w:rsid w:val="00B23E7C"/>
    <w:rsid w:val="00B2684B"/>
    <w:rsid w:val="00B32C98"/>
    <w:rsid w:val="00B36CBE"/>
    <w:rsid w:val="00B501C1"/>
    <w:rsid w:val="00B5121A"/>
    <w:rsid w:val="00B514E4"/>
    <w:rsid w:val="00B6243E"/>
    <w:rsid w:val="00B63E19"/>
    <w:rsid w:val="00B64DCD"/>
    <w:rsid w:val="00B70470"/>
    <w:rsid w:val="00B71056"/>
    <w:rsid w:val="00B82563"/>
    <w:rsid w:val="00B84D5E"/>
    <w:rsid w:val="00B91384"/>
    <w:rsid w:val="00BB191D"/>
    <w:rsid w:val="00BB7D06"/>
    <w:rsid w:val="00BC1A06"/>
    <w:rsid w:val="00BD0F50"/>
    <w:rsid w:val="00BD1F8F"/>
    <w:rsid w:val="00BE2EC1"/>
    <w:rsid w:val="00BE7E58"/>
    <w:rsid w:val="00BF191E"/>
    <w:rsid w:val="00BF36CB"/>
    <w:rsid w:val="00BF59A3"/>
    <w:rsid w:val="00C00C08"/>
    <w:rsid w:val="00C04736"/>
    <w:rsid w:val="00C06534"/>
    <w:rsid w:val="00C25DEE"/>
    <w:rsid w:val="00C31EDF"/>
    <w:rsid w:val="00C34A54"/>
    <w:rsid w:val="00C35E15"/>
    <w:rsid w:val="00C370E3"/>
    <w:rsid w:val="00C40213"/>
    <w:rsid w:val="00C512BF"/>
    <w:rsid w:val="00C51CBD"/>
    <w:rsid w:val="00C536FC"/>
    <w:rsid w:val="00C738E6"/>
    <w:rsid w:val="00C86B1B"/>
    <w:rsid w:val="00C92319"/>
    <w:rsid w:val="00C95772"/>
    <w:rsid w:val="00C95F54"/>
    <w:rsid w:val="00CB0CDA"/>
    <w:rsid w:val="00CB5130"/>
    <w:rsid w:val="00CB7D01"/>
    <w:rsid w:val="00CC254F"/>
    <w:rsid w:val="00CE4E85"/>
    <w:rsid w:val="00CF0078"/>
    <w:rsid w:val="00CF4485"/>
    <w:rsid w:val="00CF66A7"/>
    <w:rsid w:val="00D0097A"/>
    <w:rsid w:val="00D126E1"/>
    <w:rsid w:val="00D24499"/>
    <w:rsid w:val="00D364D7"/>
    <w:rsid w:val="00D405CE"/>
    <w:rsid w:val="00D57762"/>
    <w:rsid w:val="00D6162C"/>
    <w:rsid w:val="00D62F54"/>
    <w:rsid w:val="00D63605"/>
    <w:rsid w:val="00D9087C"/>
    <w:rsid w:val="00D9319A"/>
    <w:rsid w:val="00DA67E2"/>
    <w:rsid w:val="00DB5CDD"/>
    <w:rsid w:val="00DB7DD6"/>
    <w:rsid w:val="00DC2395"/>
    <w:rsid w:val="00DE0E65"/>
    <w:rsid w:val="00DE2235"/>
    <w:rsid w:val="00DE6F33"/>
    <w:rsid w:val="00DF072F"/>
    <w:rsid w:val="00DF1DED"/>
    <w:rsid w:val="00DF36AE"/>
    <w:rsid w:val="00DF63B7"/>
    <w:rsid w:val="00E03B97"/>
    <w:rsid w:val="00E16224"/>
    <w:rsid w:val="00E30E51"/>
    <w:rsid w:val="00E33BB7"/>
    <w:rsid w:val="00E40308"/>
    <w:rsid w:val="00E53D91"/>
    <w:rsid w:val="00E570FD"/>
    <w:rsid w:val="00E62358"/>
    <w:rsid w:val="00E64FB3"/>
    <w:rsid w:val="00E666AE"/>
    <w:rsid w:val="00E66CC8"/>
    <w:rsid w:val="00E702D9"/>
    <w:rsid w:val="00E92656"/>
    <w:rsid w:val="00E958BB"/>
    <w:rsid w:val="00E95FB2"/>
    <w:rsid w:val="00E96E6A"/>
    <w:rsid w:val="00E9700F"/>
    <w:rsid w:val="00EA4F3C"/>
    <w:rsid w:val="00EA7D4D"/>
    <w:rsid w:val="00EB5DD6"/>
    <w:rsid w:val="00EC42FA"/>
    <w:rsid w:val="00EC4514"/>
    <w:rsid w:val="00EC7CA1"/>
    <w:rsid w:val="00ED068E"/>
    <w:rsid w:val="00EE6E9D"/>
    <w:rsid w:val="00EF5C3F"/>
    <w:rsid w:val="00F101D7"/>
    <w:rsid w:val="00F1585A"/>
    <w:rsid w:val="00F26803"/>
    <w:rsid w:val="00F30624"/>
    <w:rsid w:val="00F45DF9"/>
    <w:rsid w:val="00F471DA"/>
    <w:rsid w:val="00F473E3"/>
    <w:rsid w:val="00F51518"/>
    <w:rsid w:val="00F60FA1"/>
    <w:rsid w:val="00F62F69"/>
    <w:rsid w:val="00F6596D"/>
    <w:rsid w:val="00F71C77"/>
    <w:rsid w:val="00F747B6"/>
    <w:rsid w:val="00F86582"/>
    <w:rsid w:val="00F907C6"/>
    <w:rsid w:val="00F920BE"/>
    <w:rsid w:val="00FA451F"/>
    <w:rsid w:val="00FA5434"/>
    <w:rsid w:val="00FB739A"/>
    <w:rsid w:val="00FC308C"/>
    <w:rsid w:val="00FC7E43"/>
    <w:rsid w:val="00FD0B82"/>
    <w:rsid w:val="00FD2210"/>
    <w:rsid w:val="00FD4A16"/>
    <w:rsid w:val="00FE0120"/>
    <w:rsid w:val="00FF1B88"/>
    <w:rsid w:val="00FF35BB"/>
    <w:rsid w:val="00FF42D1"/>
    <w:rsid w:val="00FF6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D68CF"/>
  <w15:docId w15:val="{92D40B9A-B1E5-4171-A05D-4A0797475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98A"/>
  </w:style>
  <w:style w:type="paragraph" w:styleId="Heading1">
    <w:name w:val="heading 1"/>
    <w:basedOn w:val="Normal"/>
    <w:next w:val="Normal"/>
    <w:link w:val="Heading1Char"/>
    <w:uiPriority w:val="9"/>
    <w:qFormat/>
    <w:rsid w:val="00CE4E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E4E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55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573"/>
    <w:rPr>
      <w:rFonts w:ascii="Segoe UI" w:hAnsi="Segoe UI" w:cs="Segoe UI"/>
      <w:sz w:val="18"/>
      <w:szCs w:val="18"/>
    </w:rPr>
  </w:style>
  <w:style w:type="table" w:styleId="TableGrid">
    <w:name w:val="Table Grid"/>
    <w:basedOn w:val="TableNormal"/>
    <w:uiPriority w:val="39"/>
    <w:rsid w:val="00705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705573"/>
    <w:pPr>
      <w:spacing w:after="200" w:line="276" w:lineRule="auto"/>
      <w:ind w:left="720"/>
      <w:contextualSpacing/>
    </w:pPr>
  </w:style>
  <w:style w:type="character" w:styleId="FootnoteReference">
    <w:name w:val="footnote reference"/>
    <w:basedOn w:val="DefaultParagraphFont"/>
    <w:uiPriority w:val="99"/>
    <w:unhideWhenUsed/>
    <w:rsid w:val="00705573"/>
    <w:rPr>
      <w:vertAlign w:val="superscript"/>
    </w:rPr>
  </w:style>
  <w:style w:type="paragraph" w:styleId="CommentText">
    <w:name w:val="annotation text"/>
    <w:basedOn w:val="Normal"/>
    <w:link w:val="CommentTextChar"/>
    <w:uiPriority w:val="99"/>
    <w:unhideWhenUsed/>
    <w:rsid w:val="00CC254F"/>
    <w:pPr>
      <w:spacing w:after="200" w:line="240" w:lineRule="auto"/>
    </w:pPr>
    <w:rPr>
      <w:sz w:val="20"/>
      <w:szCs w:val="20"/>
    </w:rPr>
  </w:style>
  <w:style w:type="character" w:customStyle="1" w:styleId="CommentTextChar">
    <w:name w:val="Comment Text Char"/>
    <w:basedOn w:val="DefaultParagraphFont"/>
    <w:link w:val="CommentText"/>
    <w:uiPriority w:val="99"/>
    <w:rsid w:val="00CC254F"/>
    <w:rPr>
      <w:sz w:val="20"/>
      <w:szCs w:val="20"/>
    </w:rPr>
  </w:style>
  <w:style w:type="paragraph" w:styleId="FootnoteText">
    <w:name w:val="footnote text"/>
    <w:aliases w:val="single space,footnote text,FOOTNOTES,fn,Footnote Text Char1,Footnote Text Char2 Char,Footnote Text Char1 Char Char,Footnote Text Char2 Char Char Char,Footnote Text Char1 Char Char Char Char,Footnote Text Char2 Char Char Char Char Char,ADB"/>
    <w:basedOn w:val="Normal"/>
    <w:link w:val="FootnoteTextChar"/>
    <w:uiPriority w:val="99"/>
    <w:unhideWhenUsed/>
    <w:rsid w:val="00CC254F"/>
    <w:pPr>
      <w:spacing w:after="0" w:line="240" w:lineRule="auto"/>
    </w:pPr>
    <w:rPr>
      <w:sz w:val="20"/>
      <w:szCs w:val="20"/>
    </w:rPr>
  </w:style>
  <w:style w:type="character" w:customStyle="1" w:styleId="FootnoteTextChar">
    <w:name w:val="Footnote Text Char"/>
    <w:aliases w:val="single space Char,footnote text Char,FOOTNOTES Char,fn Char,Footnote Text Char1 Char,Footnote Text Char2 Char Char,Footnote Text Char1 Char Char Char,Footnote Text Char2 Char Char Char Char,Footnote Text Char1 Char Char Char Char Char"/>
    <w:basedOn w:val="DefaultParagraphFont"/>
    <w:link w:val="FootnoteText"/>
    <w:uiPriority w:val="99"/>
    <w:rsid w:val="00CC254F"/>
    <w:rPr>
      <w:sz w:val="20"/>
      <w:szCs w:val="20"/>
    </w:rPr>
  </w:style>
  <w:style w:type="paragraph" w:styleId="Header">
    <w:name w:val="header"/>
    <w:basedOn w:val="Normal"/>
    <w:link w:val="HeaderChar"/>
    <w:uiPriority w:val="99"/>
    <w:unhideWhenUsed/>
    <w:rsid w:val="002D2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744"/>
  </w:style>
  <w:style w:type="paragraph" w:styleId="Footer">
    <w:name w:val="footer"/>
    <w:basedOn w:val="Normal"/>
    <w:link w:val="FooterChar"/>
    <w:uiPriority w:val="99"/>
    <w:unhideWhenUsed/>
    <w:rsid w:val="002D2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744"/>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70722C"/>
  </w:style>
  <w:style w:type="character" w:styleId="CommentReference">
    <w:name w:val="annotation reference"/>
    <w:basedOn w:val="DefaultParagraphFont"/>
    <w:uiPriority w:val="99"/>
    <w:unhideWhenUsed/>
    <w:rsid w:val="00AD46E4"/>
    <w:rPr>
      <w:sz w:val="16"/>
      <w:szCs w:val="16"/>
    </w:rPr>
  </w:style>
  <w:style w:type="paragraph" w:styleId="CommentSubject">
    <w:name w:val="annotation subject"/>
    <w:basedOn w:val="CommentText"/>
    <w:next w:val="CommentText"/>
    <w:link w:val="CommentSubjectChar"/>
    <w:uiPriority w:val="99"/>
    <w:semiHidden/>
    <w:unhideWhenUsed/>
    <w:rsid w:val="00AD46E4"/>
    <w:pPr>
      <w:spacing w:after="160"/>
    </w:pPr>
    <w:rPr>
      <w:b/>
      <w:bCs/>
    </w:rPr>
  </w:style>
  <w:style w:type="character" w:customStyle="1" w:styleId="CommentSubjectChar">
    <w:name w:val="Comment Subject Char"/>
    <w:basedOn w:val="CommentTextChar"/>
    <w:link w:val="CommentSubject"/>
    <w:uiPriority w:val="99"/>
    <w:semiHidden/>
    <w:rsid w:val="00AD46E4"/>
    <w:rPr>
      <w:b/>
      <w:bCs/>
      <w:sz w:val="20"/>
      <w:szCs w:val="20"/>
    </w:rPr>
  </w:style>
  <w:style w:type="table" w:styleId="LightShading-Accent1">
    <w:name w:val="Light Shading Accent 1"/>
    <w:basedOn w:val="TableNormal"/>
    <w:uiPriority w:val="60"/>
    <w:rsid w:val="00364ECF"/>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Heading2Char">
    <w:name w:val="Heading 2 Char"/>
    <w:basedOn w:val="DefaultParagraphFont"/>
    <w:link w:val="Heading2"/>
    <w:uiPriority w:val="9"/>
    <w:rsid w:val="00CE4E85"/>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E4E85"/>
    <w:rPr>
      <w:rFonts w:asciiTheme="majorHAnsi" w:eastAsiaTheme="majorEastAsia" w:hAnsiTheme="majorHAnsi" w:cstheme="majorBidi"/>
      <w:color w:val="2E74B5" w:themeColor="accent1" w:themeShade="BF"/>
      <w:sz w:val="32"/>
      <w:szCs w:val="32"/>
    </w:rPr>
  </w:style>
  <w:style w:type="paragraph" w:styleId="PlainText">
    <w:name w:val="Plain Text"/>
    <w:basedOn w:val="Normal"/>
    <w:link w:val="PlainTextChar"/>
    <w:uiPriority w:val="99"/>
    <w:unhideWhenUsed/>
    <w:rsid w:val="00782F2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82F29"/>
    <w:rPr>
      <w:rFonts w:ascii="Calibri" w:hAnsi="Calibri"/>
      <w:szCs w:val="21"/>
    </w:rPr>
  </w:style>
  <w:style w:type="paragraph" w:styleId="NoSpacing">
    <w:name w:val="No Spacing"/>
    <w:uiPriority w:val="1"/>
    <w:qFormat/>
    <w:rsid w:val="00B23E7C"/>
    <w:pPr>
      <w:spacing w:after="0" w:line="240" w:lineRule="auto"/>
    </w:pPr>
  </w:style>
  <w:style w:type="character" w:styleId="Hyperlink">
    <w:name w:val="Hyperlink"/>
    <w:basedOn w:val="DefaultParagraphFont"/>
    <w:uiPriority w:val="99"/>
    <w:unhideWhenUsed/>
    <w:rsid w:val="00665F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31059">
      <w:bodyDiv w:val="1"/>
      <w:marLeft w:val="0"/>
      <w:marRight w:val="0"/>
      <w:marTop w:val="0"/>
      <w:marBottom w:val="0"/>
      <w:divBdr>
        <w:top w:val="none" w:sz="0" w:space="0" w:color="auto"/>
        <w:left w:val="none" w:sz="0" w:space="0" w:color="auto"/>
        <w:bottom w:val="none" w:sz="0" w:space="0" w:color="auto"/>
        <w:right w:val="none" w:sz="0" w:space="0" w:color="auto"/>
      </w:divBdr>
    </w:div>
    <w:div w:id="251669737">
      <w:bodyDiv w:val="1"/>
      <w:marLeft w:val="0"/>
      <w:marRight w:val="0"/>
      <w:marTop w:val="0"/>
      <w:marBottom w:val="0"/>
      <w:divBdr>
        <w:top w:val="none" w:sz="0" w:space="0" w:color="auto"/>
        <w:left w:val="none" w:sz="0" w:space="0" w:color="auto"/>
        <w:bottom w:val="none" w:sz="0" w:space="0" w:color="auto"/>
        <w:right w:val="none" w:sz="0" w:space="0" w:color="auto"/>
      </w:divBdr>
    </w:div>
    <w:div w:id="322243372">
      <w:bodyDiv w:val="1"/>
      <w:marLeft w:val="0"/>
      <w:marRight w:val="0"/>
      <w:marTop w:val="0"/>
      <w:marBottom w:val="0"/>
      <w:divBdr>
        <w:top w:val="none" w:sz="0" w:space="0" w:color="auto"/>
        <w:left w:val="none" w:sz="0" w:space="0" w:color="auto"/>
        <w:bottom w:val="none" w:sz="0" w:space="0" w:color="auto"/>
        <w:right w:val="none" w:sz="0" w:space="0" w:color="auto"/>
      </w:divBdr>
    </w:div>
    <w:div w:id="698896069">
      <w:bodyDiv w:val="1"/>
      <w:marLeft w:val="0"/>
      <w:marRight w:val="0"/>
      <w:marTop w:val="0"/>
      <w:marBottom w:val="0"/>
      <w:divBdr>
        <w:top w:val="none" w:sz="0" w:space="0" w:color="auto"/>
        <w:left w:val="none" w:sz="0" w:space="0" w:color="auto"/>
        <w:bottom w:val="none" w:sz="0" w:space="0" w:color="auto"/>
        <w:right w:val="none" w:sz="0" w:space="0" w:color="auto"/>
      </w:divBdr>
    </w:div>
    <w:div w:id="884828452">
      <w:bodyDiv w:val="1"/>
      <w:marLeft w:val="0"/>
      <w:marRight w:val="0"/>
      <w:marTop w:val="0"/>
      <w:marBottom w:val="0"/>
      <w:divBdr>
        <w:top w:val="none" w:sz="0" w:space="0" w:color="auto"/>
        <w:left w:val="none" w:sz="0" w:space="0" w:color="auto"/>
        <w:bottom w:val="none" w:sz="0" w:space="0" w:color="auto"/>
        <w:right w:val="none" w:sz="0" w:space="0" w:color="auto"/>
      </w:divBdr>
    </w:div>
    <w:div w:id="936133008">
      <w:bodyDiv w:val="1"/>
      <w:marLeft w:val="0"/>
      <w:marRight w:val="0"/>
      <w:marTop w:val="0"/>
      <w:marBottom w:val="0"/>
      <w:divBdr>
        <w:top w:val="none" w:sz="0" w:space="0" w:color="auto"/>
        <w:left w:val="none" w:sz="0" w:space="0" w:color="auto"/>
        <w:bottom w:val="none" w:sz="0" w:space="0" w:color="auto"/>
        <w:right w:val="none" w:sz="0" w:space="0" w:color="auto"/>
      </w:divBdr>
    </w:div>
    <w:div w:id="1105148169">
      <w:bodyDiv w:val="1"/>
      <w:marLeft w:val="0"/>
      <w:marRight w:val="0"/>
      <w:marTop w:val="0"/>
      <w:marBottom w:val="0"/>
      <w:divBdr>
        <w:top w:val="none" w:sz="0" w:space="0" w:color="auto"/>
        <w:left w:val="none" w:sz="0" w:space="0" w:color="auto"/>
        <w:bottom w:val="none" w:sz="0" w:space="0" w:color="auto"/>
        <w:right w:val="none" w:sz="0" w:space="0" w:color="auto"/>
      </w:divBdr>
    </w:div>
    <w:div w:id="1129513223">
      <w:bodyDiv w:val="1"/>
      <w:marLeft w:val="0"/>
      <w:marRight w:val="0"/>
      <w:marTop w:val="0"/>
      <w:marBottom w:val="0"/>
      <w:divBdr>
        <w:top w:val="none" w:sz="0" w:space="0" w:color="auto"/>
        <w:left w:val="none" w:sz="0" w:space="0" w:color="auto"/>
        <w:bottom w:val="none" w:sz="0" w:space="0" w:color="auto"/>
        <w:right w:val="none" w:sz="0" w:space="0" w:color="auto"/>
      </w:divBdr>
    </w:div>
    <w:div w:id="1136335251">
      <w:bodyDiv w:val="1"/>
      <w:marLeft w:val="0"/>
      <w:marRight w:val="0"/>
      <w:marTop w:val="0"/>
      <w:marBottom w:val="0"/>
      <w:divBdr>
        <w:top w:val="none" w:sz="0" w:space="0" w:color="auto"/>
        <w:left w:val="none" w:sz="0" w:space="0" w:color="auto"/>
        <w:bottom w:val="none" w:sz="0" w:space="0" w:color="auto"/>
        <w:right w:val="none" w:sz="0" w:space="0" w:color="auto"/>
      </w:divBdr>
    </w:div>
    <w:div w:id="1233348918">
      <w:bodyDiv w:val="1"/>
      <w:marLeft w:val="0"/>
      <w:marRight w:val="0"/>
      <w:marTop w:val="0"/>
      <w:marBottom w:val="0"/>
      <w:divBdr>
        <w:top w:val="none" w:sz="0" w:space="0" w:color="auto"/>
        <w:left w:val="none" w:sz="0" w:space="0" w:color="auto"/>
        <w:bottom w:val="none" w:sz="0" w:space="0" w:color="auto"/>
        <w:right w:val="none" w:sz="0" w:space="0" w:color="auto"/>
      </w:divBdr>
    </w:div>
    <w:div w:id="1264344049">
      <w:bodyDiv w:val="1"/>
      <w:marLeft w:val="0"/>
      <w:marRight w:val="0"/>
      <w:marTop w:val="0"/>
      <w:marBottom w:val="0"/>
      <w:divBdr>
        <w:top w:val="none" w:sz="0" w:space="0" w:color="auto"/>
        <w:left w:val="none" w:sz="0" w:space="0" w:color="auto"/>
        <w:bottom w:val="none" w:sz="0" w:space="0" w:color="auto"/>
        <w:right w:val="none" w:sz="0" w:space="0" w:color="auto"/>
      </w:divBdr>
    </w:div>
    <w:div w:id="1423987046">
      <w:bodyDiv w:val="1"/>
      <w:marLeft w:val="0"/>
      <w:marRight w:val="0"/>
      <w:marTop w:val="0"/>
      <w:marBottom w:val="0"/>
      <w:divBdr>
        <w:top w:val="none" w:sz="0" w:space="0" w:color="auto"/>
        <w:left w:val="none" w:sz="0" w:space="0" w:color="auto"/>
        <w:bottom w:val="none" w:sz="0" w:space="0" w:color="auto"/>
        <w:right w:val="none" w:sz="0" w:space="0" w:color="auto"/>
      </w:divBdr>
    </w:div>
    <w:div w:id="1439984777">
      <w:bodyDiv w:val="1"/>
      <w:marLeft w:val="0"/>
      <w:marRight w:val="0"/>
      <w:marTop w:val="0"/>
      <w:marBottom w:val="0"/>
      <w:divBdr>
        <w:top w:val="none" w:sz="0" w:space="0" w:color="auto"/>
        <w:left w:val="none" w:sz="0" w:space="0" w:color="auto"/>
        <w:bottom w:val="none" w:sz="0" w:space="0" w:color="auto"/>
        <w:right w:val="none" w:sz="0" w:space="0" w:color="auto"/>
      </w:divBdr>
    </w:div>
    <w:div w:id="1510868494">
      <w:bodyDiv w:val="1"/>
      <w:marLeft w:val="0"/>
      <w:marRight w:val="0"/>
      <w:marTop w:val="0"/>
      <w:marBottom w:val="0"/>
      <w:divBdr>
        <w:top w:val="none" w:sz="0" w:space="0" w:color="auto"/>
        <w:left w:val="none" w:sz="0" w:space="0" w:color="auto"/>
        <w:bottom w:val="none" w:sz="0" w:space="0" w:color="auto"/>
        <w:right w:val="none" w:sz="0" w:space="0" w:color="auto"/>
      </w:divBdr>
    </w:div>
    <w:div w:id="1699239303">
      <w:bodyDiv w:val="1"/>
      <w:marLeft w:val="0"/>
      <w:marRight w:val="0"/>
      <w:marTop w:val="0"/>
      <w:marBottom w:val="0"/>
      <w:divBdr>
        <w:top w:val="none" w:sz="0" w:space="0" w:color="auto"/>
        <w:left w:val="none" w:sz="0" w:space="0" w:color="auto"/>
        <w:bottom w:val="none" w:sz="0" w:space="0" w:color="auto"/>
        <w:right w:val="none" w:sz="0" w:space="0" w:color="auto"/>
      </w:divBdr>
    </w:div>
    <w:div w:id="1726829471">
      <w:bodyDiv w:val="1"/>
      <w:marLeft w:val="0"/>
      <w:marRight w:val="0"/>
      <w:marTop w:val="0"/>
      <w:marBottom w:val="0"/>
      <w:divBdr>
        <w:top w:val="none" w:sz="0" w:space="0" w:color="auto"/>
        <w:left w:val="none" w:sz="0" w:space="0" w:color="auto"/>
        <w:bottom w:val="none" w:sz="0" w:space="0" w:color="auto"/>
        <w:right w:val="none" w:sz="0" w:space="0" w:color="auto"/>
      </w:divBdr>
    </w:div>
    <w:div w:id="1799687510">
      <w:bodyDiv w:val="1"/>
      <w:marLeft w:val="0"/>
      <w:marRight w:val="0"/>
      <w:marTop w:val="0"/>
      <w:marBottom w:val="0"/>
      <w:divBdr>
        <w:top w:val="none" w:sz="0" w:space="0" w:color="auto"/>
        <w:left w:val="none" w:sz="0" w:space="0" w:color="auto"/>
        <w:bottom w:val="none" w:sz="0" w:space="0" w:color="auto"/>
        <w:right w:val="none" w:sz="0" w:space="0" w:color="auto"/>
      </w:divBdr>
    </w:div>
    <w:div w:id="1816607313">
      <w:bodyDiv w:val="1"/>
      <w:marLeft w:val="0"/>
      <w:marRight w:val="0"/>
      <w:marTop w:val="0"/>
      <w:marBottom w:val="0"/>
      <w:divBdr>
        <w:top w:val="none" w:sz="0" w:space="0" w:color="auto"/>
        <w:left w:val="none" w:sz="0" w:space="0" w:color="auto"/>
        <w:bottom w:val="none" w:sz="0" w:space="0" w:color="auto"/>
        <w:right w:val="none" w:sz="0" w:space="0" w:color="auto"/>
      </w:divBdr>
    </w:div>
    <w:div w:id="202212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f.ge/images/File/2022-biujeti/21-12-2021/DanarTebi/19.FRS_III_202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f.ge/images/File/2022-biujeti/21-12-2021/DanarTebi/21.prognozebis%20shedareba%202022%20-3.docx" TargetMode="External"/><Relationship Id="rId5" Type="http://schemas.openxmlformats.org/officeDocument/2006/relationships/webSettings" Target="webSettings.xml"/><Relationship Id="rId10" Type="http://schemas.openxmlformats.org/officeDocument/2006/relationships/hyperlink" Target="https://www.mof.ge/images/File/2021-biujeti/10-12-2021/danartebi/11.prognozebis%20shedareba%202021.docx" TargetMode="External"/><Relationship Id="rId4" Type="http://schemas.openxmlformats.org/officeDocument/2006/relationships/settings" Target="settings.xml"/><Relationship Id="rId9" Type="http://schemas.openxmlformats.org/officeDocument/2006/relationships/hyperlink" Target="https://www.mof.ge/523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B95D1-DECE-4F17-8004-F393937F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1289</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Natia Gulua</dc:creator>
  <cp:lastModifiedBy>Tinatin Gugava</cp:lastModifiedBy>
  <cp:revision>4</cp:revision>
  <cp:lastPrinted>2022-03-17T16:37:00Z</cp:lastPrinted>
  <dcterms:created xsi:type="dcterms:W3CDTF">2022-03-29T12:00:00Z</dcterms:created>
  <dcterms:modified xsi:type="dcterms:W3CDTF">2023-03-22T13:07:00Z</dcterms:modified>
</cp:coreProperties>
</file>